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VISIT THE STONE AGE</w:t>
      </w:r>
    </w:p>
    <w:p>
      <w:pPr>
        <w:jc w:val="center"/>
        <w:rPr>
          <w:sz w:val="36"/>
          <w:szCs w:val="36"/>
          <w:u w:val="single"/>
        </w:rPr>
      </w:pPr>
    </w:p>
    <w:p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Special half term opening at only £1.</w:t>
      </w:r>
      <w:proofErr w:type="gramEnd"/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21</w:t>
      </w:r>
      <w:proofErr w:type="gramStart"/>
      <w:r>
        <w:rPr>
          <w:sz w:val="32"/>
          <w:szCs w:val="32"/>
        </w:rPr>
        <w:t>,22,23</w:t>
      </w:r>
      <w:proofErr w:type="gramEnd"/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See replica dwellings.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Handle ancient and replica artefacts.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Try painting with ochres.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 Wayside Herbs, </w:t>
      </w:r>
      <w:proofErr w:type="spellStart"/>
      <w:r>
        <w:rPr>
          <w:sz w:val="32"/>
          <w:szCs w:val="32"/>
        </w:rPr>
        <w:t>Yafford</w:t>
      </w:r>
      <w:proofErr w:type="spellEnd"/>
      <w:r>
        <w:rPr>
          <w:sz w:val="32"/>
          <w:szCs w:val="32"/>
        </w:rPr>
        <w:t>, PO30 3LX</w:t>
      </w:r>
    </w:p>
    <w:p>
      <w:pPr>
        <w:jc w:val="center"/>
        <w:rPr>
          <w:sz w:val="32"/>
          <w:szCs w:val="32"/>
        </w:rPr>
      </w:pPr>
      <w:hyperlink r:id="rId5" w:history="1">
        <w:r>
          <w:rPr>
            <w:rStyle w:val="Hyperlink"/>
            <w:sz w:val="32"/>
            <w:szCs w:val="32"/>
          </w:rPr>
          <w:t>www.waysideherbs.co.uk</w:t>
        </w:r>
      </w:hyperlink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“Visit the Stone Age” on Facebook</w:t>
      </w:r>
    </w:p>
    <w:p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ysideherb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2019-10-14T08:34:00Z</dcterms:created>
  <dcterms:modified xsi:type="dcterms:W3CDTF">2019-10-14T08:35:00Z</dcterms:modified>
</cp:coreProperties>
</file>