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197"/>
        <w:gridCol w:w="3169"/>
        <w:gridCol w:w="113"/>
        <w:gridCol w:w="2694"/>
        <w:gridCol w:w="1007"/>
        <w:gridCol w:w="977"/>
        <w:gridCol w:w="3231"/>
      </w:tblGrid>
      <w:tr w:rsidR="002800BB" w:rsidTr="00C609C8">
        <w:trPr>
          <w:trHeight w:val="409"/>
        </w:trPr>
        <w:tc>
          <w:tcPr>
            <w:tcW w:w="7366" w:type="dxa"/>
            <w:gridSpan w:val="2"/>
            <w:shd w:val="pct10" w:color="auto" w:fill="auto"/>
            <w:vAlign w:val="center"/>
          </w:tcPr>
          <w:p w:rsidR="002800BB" w:rsidRDefault="00C609C8">
            <w:pPr>
              <w:jc w:val="center"/>
              <w:rPr>
                <w:b/>
              </w:rPr>
            </w:pPr>
            <w:r>
              <w:rPr>
                <w:b/>
              </w:rPr>
              <w:t>English</w:t>
            </w:r>
          </w:p>
        </w:tc>
        <w:tc>
          <w:tcPr>
            <w:tcW w:w="8022" w:type="dxa"/>
            <w:gridSpan w:val="5"/>
            <w:shd w:val="pct10" w:color="auto" w:fill="auto"/>
            <w:vAlign w:val="center"/>
          </w:tcPr>
          <w:p w:rsidR="002800BB" w:rsidRDefault="00C609C8">
            <w:pPr>
              <w:jc w:val="center"/>
              <w:rPr>
                <w:b/>
              </w:rPr>
            </w:pPr>
            <w:r>
              <w:rPr>
                <w:b/>
              </w:rPr>
              <w:t>Maths</w:t>
            </w:r>
          </w:p>
        </w:tc>
      </w:tr>
      <w:tr w:rsidR="002800BB" w:rsidTr="00C609C8">
        <w:trPr>
          <w:trHeight w:val="2814"/>
        </w:trPr>
        <w:tc>
          <w:tcPr>
            <w:tcW w:w="7366" w:type="dxa"/>
            <w:gridSpan w:val="2"/>
            <w:tcBorders>
              <w:bottom w:val="single" w:sz="4" w:space="0" w:color="auto"/>
            </w:tcBorders>
          </w:tcPr>
          <w:p w:rsidR="00B54A73" w:rsidRPr="0022543F" w:rsidRDefault="00B54A73" w:rsidP="00B54A73">
            <w:pPr>
              <w:rPr>
                <w:rFonts w:cs="Arial"/>
                <w:color w:val="000000" w:themeColor="text1"/>
                <w:sz w:val="28"/>
                <w:szCs w:val="28"/>
                <w:u w:val="single"/>
              </w:rPr>
            </w:pPr>
            <w:r w:rsidRPr="0022543F">
              <w:rPr>
                <w:rFonts w:cs="Arial"/>
                <w:color w:val="000000" w:themeColor="text1"/>
                <w:sz w:val="28"/>
                <w:szCs w:val="28"/>
                <w:u w:val="single"/>
              </w:rPr>
              <w:t xml:space="preserve">Read Write </w:t>
            </w:r>
            <w:proofErr w:type="spellStart"/>
            <w:r w:rsidRPr="0022543F">
              <w:rPr>
                <w:rFonts w:cs="Arial"/>
                <w:color w:val="000000" w:themeColor="text1"/>
                <w:sz w:val="28"/>
                <w:szCs w:val="28"/>
                <w:u w:val="single"/>
              </w:rPr>
              <w:t>Inc</w:t>
            </w:r>
            <w:proofErr w:type="spellEnd"/>
          </w:p>
          <w:p w:rsidR="00197AFE" w:rsidRDefault="00B54A73" w:rsidP="00B54A73">
            <w:pPr>
              <w:rPr>
                <w:rFonts w:cs="Arial"/>
                <w:color w:val="000000" w:themeColor="text1"/>
                <w:sz w:val="22"/>
                <w:szCs w:val="22"/>
              </w:rPr>
            </w:pPr>
            <w:r w:rsidRPr="0022543F">
              <w:rPr>
                <w:rFonts w:cs="Arial"/>
                <w:color w:val="000000" w:themeColor="text1"/>
                <w:sz w:val="28"/>
                <w:szCs w:val="28"/>
              </w:rPr>
              <w:t>All Year 1 children</w:t>
            </w:r>
            <w:r>
              <w:rPr>
                <w:rFonts w:cs="Arial"/>
                <w:color w:val="000000" w:themeColor="text1"/>
                <w:sz w:val="28"/>
                <w:szCs w:val="28"/>
              </w:rPr>
              <w:t xml:space="preserve"> are continuing to take</w:t>
            </w:r>
            <w:r w:rsidRPr="0022543F">
              <w:rPr>
                <w:rFonts w:cs="Arial"/>
                <w:color w:val="000000" w:themeColor="text1"/>
                <w:sz w:val="28"/>
                <w:szCs w:val="28"/>
              </w:rPr>
              <w:t xml:space="preserve"> part in the RWI </w:t>
            </w:r>
            <w:proofErr w:type="spellStart"/>
            <w:r w:rsidRPr="0022543F">
              <w:rPr>
                <w:rFonts w:cs="Arial"/>
                <w:color w:val="000000" w:themeColor="text1"/>
                <w:sz w:val="28"/>
                <w:szCs w:val="28"/>
              </w:rPr>
              <w:t>programme</w:t>
            </w:r>
            <w:proofErr w:type="spellEnd"/>
            <w:r w:rsidRPr="0022543F">
              <w:rPr>
                <w:rFonts w:cs="Arial"/>
                <w:color w:val="000000" w:themeColor="text1"/>
                <w:sz w:val="28"/>
                <w:szCs w:val="28"/>
              </w:rPr>
              <w:t xml:space="preserve"> and will be reading and writing about a range of books across the half term.  See the weekly ‘home’ books for the </w:t>
            </w:r>
            <w:r w:rsidR="005F1BB0">
              <w:rPr>
                <w:rFonts w:cs="Arial"/>
                <w:color w:val="000000" w:themeColor="text1"/>
                <w:sz w:val="28"/>
                <w:szCs w:val="28"/>
              </w:rPr>
              <w:t xml:space="preserve">green and red words to </w:t>
            </w:r>
            <w:proofErr w:type="spellStart"/>
            <w:r w:rsidR="005F1BB0">
              <w:rPr>
                <w:rFonts w:cs="Arial"/>
                <w:color w:val="000000" w:themeColor="text1"/>
                <w:sz w:val="28"/>
                <w:szCs w:val="28"/>
              </w:rPr>
              <w:t>practis</w:t>
            </w:r>
            <w:r>
              <w:rPr>
                <w:rFonts w:cs="Arial"/>
                <w:color w:val="000000" w:themeColor="text1"/>
                <w:sz w:val="28"/>
                <w:szCs w:val="28"/>
              </w:rPr>
              <w:t>e</w:t>
            </w:r>
            <w:proofErr w:type="spellEnd"/>
            <w:r>
              <w:rPr>
                <w:rFonts w:cs="Arial"/>
                <w:color w:val="000000" w:themeColor="text1"/>
                <w:sz w:val="28"/>
                <w:szCs w:val="28"/>
              </w:rPr>
              <w:t>.</w:t>
            </w:r>
          </w:p>
        </w:tc>
        <w:tc>
          <w:tcPr>
            <w:tcW w:w="8022" w:type="dxa"/>
            <w:gridSpan w:val="5"/>
          </w:tcPr>
          <w:p w:rsidR="00C75EDF" w:rsidRDefault="00C609C8" w:rsidP="00C75EDF">
            <w:pPr>
              <w:rPr>
                <w:color w:val="000000" w:themeColor="text1"/>
                <w:sz w:val="20"/>
              </w:rPr>
            </w:pPr>
            <w:r w:rsidRPr="00C609C8">
              <w:rPr>
                <w:color w:val="000000" w:themeColor="text1"/>
                <w:sz w:val="20"/>
                <w:u w:val="single"/>
              </w:rPr>
              <w:t>Number and place value</w:t>
            </w:r>
            <w:r w:rsidRPr="00C609C8">
              <w:rPr>
                <w:color w:val="000000" w:themeColor="text1"/>
                <w:sz w:val="20"/>
              </w:rPr>
              <w:t xml:space="preserve"> –</w:t>
            </w:r>
          </w:p>
          <w:p w:rsidR="00C75EDF" w:rsidRDefault="00C75EDF" w:rsidP="00C75EDF">
            <w:pPr>
              <w:pStyle w:val="ListParagraph"/>
              <w:numPr>
                <w:ilvl w:val="0"/>
                <w:numId w:val="3"/>
              </w:numPr>
              <w:rPr>
                <w:color w:val="000000" w:themeColor="text1"/>
                <w:sz w:val="20"/>
              </w:rPr>
            </w:pPr>
            <w:r w:rsidRPr="00C75EDF">
              <w:rPr>
                <w:color w:val="000000" w:themeColor="text1"/>
                <w:sz w:val="20"/>
              </w:rPr>
              <w:t>To count to 50 forwards and backwards, beginning with 0 or 1, or from any number.</w:t>
            </w:r>
          </w:p>
          <w:p w:rsidR="00C75EDF" w:rsidRDefault="00C75EDF" w:rsidP="00C75EDF">
            <w:pPr>
              <w:pStyle w:val="ListParagraph"/>
              <w:numPr>
                <w:ilvl w:val="0"/>
                <w:numId w:val="3"/>
              </w:numPr>
              <w:rPr>
                <w:color w:val="000000" w:themeColor="text1"/>
                <w:sz w:val="20"/>
              </w:rPr>
            </w:pPr>
            <w:r>
              <w:rPr>
                <w:color w:val="000000" w:themeColor="text1"/>
                <w:sz w:val="20"/>
              </w:rPr>
              <w:t>To count read and write numbers to 50 in numerals</w:t>
            </w:r>
          </w:p>
          <w:p w:rsidR="00C75EDF" w:rsidRDefault="00C75EDF" w:rsidP="00C75EDF">
            <w:pPr>
              <w:pStyle w:val="ListParagraph"/>
              <w:numPr>
                <w:ilvl w:val="0"/>
                <w:numId w:val="3"/>
              </w:numPr>
              <w:rPr>
                <w:color w:val="000000" w:themeColor="text1"/>
                <w:sz w:val="20"/>
              </w:rPr>
            </w:pPr>
            <w:r>
              <w:rPr>
                <w:color w:val="000000" w:themeColor="text1"/>
                <w:sz w:val="20"/>
              </w:rPr>
              <w:t>Given a number, identify one more or one less</w:t>
            </w:r>
          </w:p>
          <w:p w:rsidR="00C75EDF" w:rsidRDefault="00C75EDF" w:rsidP="00C75EDF">
            <w:pPr>
              <w:pStyle w:val="ListParagraph"/>
              <w:numPr>
                <w:ilvl w:val="0"/>
                <w:numId w:val="3"/>
              </w:numPr>
              <w:rPr>
                <w:color w:val="000000" w:themeColor="text1"/>
                <w:sz w:val="20"/>
              </w:rPr>
            </w:pPr>
            <w:r>
              <w:rPr>
                <w:color w:val="000000" w:themeColor="text1"/>
                <w:sz w:val="20"/>
              </w:rPr>
              <w:t>Identify and represent numbers using objects and pictorial representations including the number line, use the language of equal to, more than, less than (fewer), most, least.</w:t>
            </w:r>
          </w:p>
          <w:p w:rsidR="00C75EDF" w:rsidRPr="00C75EDF" w:rsidRDefault="00C75EDF" w:rsidP="00C75EDF">
            <w:pPr>
              <w:pStyle w:val="ListParagraph"/>
              <w:numPr>
                <w:ilvl w:val="0"/>
                <w:numId w:val="3"/>
              </w:numPr>
              <w:rPr>
                <w:color w:val="000000" w:themeColor="text1"/>
                <w:sz w:val="20"/>
              </w:rPr>
            </w:pPr>
            <w:r>
              <w:rPr>
                <w:color w:val="000000" w:themeColor="text1"/>
                <w:sz w:val="20"/>
              </w:rPr>
              <w:t>Count in multiples of twos, fives and tens</w:t>
            </w:r>
          </w:p>
          <w:p w:rsidR="002800BB" w:rsidRDefault="00C609C8" w:rsidP="00C75EDF">
            <w:pPr>
              <w:rPr>
                <w:color w:val="000000" w:themeColor="text1"/>
                <w:sz w:val="20"/>
              </w:rPr>
            </w:pPr>
            <w:r w:rsidRPr="00C609C8">
              <w:rPr>
                <w:color w:val="000000" w:themeColor="text1"/>
                <w:sz w:val="20"/>
                <w:u w:val="single"/>
              </w:rPr>
              <w:t>Measurement</w:t>
            </w:r>
            <w:r w:rsidR="00C75EDF">
              <w:rPr>
                <w:color w:val="000000" w:themeColor="text1"/>
                <w:sz w:val="20"/>
              </w:rPr>
              <w:t xml:space="preserve"> :weight and volume</w:t>
            </w:r>
          </w:p>
          <w:p w:rsidR="00C75EDF" w:rsidRDefault="00C75EDF" w:rsidP="00C75EDF">
            <w:pPr>
              <w:pStyle w:val="ListParagraph"/>
              <w:numPr>
                <w:ilvl w:val="0"/>
                <w:numId w:val="4"/>
              </w:numPr>
              <w:rPr>
                <w:color w:val="000000" w:themeColor="text1"/>
                <w:sz w:val="20"/>
              </w:rPr>
            </w:pPr>
            <w:r>
              <w:rPr>
                <w:color w:val="000000" w:themeColor="text1"/>
                <w:sz w:val="20"/>
              </w:rPr>
              <w:t>Measure and begin to record mass/weight, capacity and volume</w:t>
            </w:r>
          </w:p>
          <w:p w:rsidR="00C75EDF" w:rsidRDefault="00C75EDF" w:rsidP="00C75EDF">
            <w:pPr>
              <w:pStyle w:val="ListParagraph"/>
              <w:numPr>
                <w:ilvl w:val="0"/>
                <w:numId w:val="4"/>
              </w:numPr>
              <w:rPr>
                <w:color w:val="000000" w:themeColor="text1"/>
                <w:sz w:val="20"/>
              </w:rPr>
            </w:pPr>
            <w:r>
              <w:rPr>
                <w:color w:val="000000" w:themeColor="text1"/>
                <w:sz w:val="20"/>
              </w:rPr>
              <w:t xml:space="preserve">Compare, describe and solve practical problems for mass/weight </w:t>
            </w:r>
            <w:proofErr w:type="spellStart"/>
            <w:r>
              <w:rPr>
                <w:color w:val="000000" w:themeColor="text1"/>
                <w:sz w:val="20"/>
              </w:rPr>
              <w:t>e.g</w:t>
            </w:r>
            <w:proofErr w:type="spellEnd"/>
            <w:r>
              <w:rPr>
                <w:color w:val="000000" w:themeColor="text1"/>
                <w:sz w:val="20"/>
              </w:rPr>
              <w:t xml:space="preserve"> heavy/light, heavier than, lighter than.</w:t>
            </w:r>
          </w:p>
          <w:p w:rsidR="00C75EDF" w:rsidRPr="00C75EDF" w:rsidRDefault="00C75EDF" w:rsidP="00C75EDF">
            <w:pPr>
              <w:pStyle w:val="ListParagraph"/>
              <w:numPr>
                <w:ilvl w:val="0"/>
                <w:numId w:val="4"/>
              </w:numPr>
              <w:rPr>
                <w:color w:val="000000" w:themeColor="text1"/>
                <w:sz w:val="20"/>
              </w:rPr>
            </w:pPr>
            <w:r>
              <w:rPr>
                <w:color w:val="000000" w:themeColor="text1"/>
                <w:sz w:val="20"/>
              </w:rPr>
              <w:t xml:space="preserve">Compare, describe and solve practical problems for capacity and volume </w:t>
            </w:r>
            <w:proofErr w:type="spellStart"/>
            <w:r>
              <w:rPr>
                <w:color w:val="000000" w:themeColor="text1"/>
                <w:sz w:val="20"/>
              </w:rPr>
              <w:t>e.g</w:t>
            </w:r>
            <w:proofErr w:type="spellEnd"/>
            <w:r>
              <w:rPr>
                <w:color w:val="000000" w:themeColor="text1"/>
                <w:sz w:val="20"/>
              </w:rPr>
              <w:t xml:space="preserve"> full/empty, more than, less than, half, half full, quarter.</w:t>
            </w:r>
          </w:p>
        </w:tc>
      </w:tr>
      <w:tr w:rsidR="002800BB" w:rsidTr="00C609C8">
        <w:trPr>
          <w:trHeight w:val="296"/>
        </w:trPr>
        <w:tc>
          <w:tcPr>
            <w:tcW w:w="4197" w:type="dxa"/>
            <w:shd w:val="pct12" w:color="auto" w:fill="auto"/>
            <w:vAlign w:val="center"/>
          </w:tcPr>
          <w:p w:rsidR="002800BB" w:rsidRDefault="00B32220" w:rsidP="00F75AF4">
            <w:pPr>
              <w:jc w:val="center"/>
              <w:rPr>
                <w:b/>
              </w:rPr>
            </w:pPr>
            <w:r>
              <w:rPr>
                <w:b/>
              </w:rPr>
              <w:t>Science</w:t>
            </w:r>
          </w:p>
        </w:tc>
        <w:tc>
          <w:tcPr>
            <w:tcW w:w="6983" w:type="dxa"/>
            <w:gridSpan w:val="4"/>
            <w:vMerge w:val="restart"/>
            <w:shd w:val="pct12" w:color="auto" w:fill="auto"/>
          </w:tcPr>
          <w:p w:rsidR="002800BB" w:rsidRDefault="00C75EDF">
            <w:pPr>
              <w:jc w:val="center"/>
              <w:rPr>
                <w:rFonts w:cs="Arial"/>
                <w:b/>
                <w:sz w:val="28"/>
              </w:rPr>
            </w:pPr>
            <w:r>
              <w:rPr>
                <w:rFonts w:cs="Arial"/>
                <w:b/>
                <w:sz w:val="28"/>
              </w:rPr>
              <w:t xml:space="preserve">Year 1 </w:t>
            </w:r>
            <w:r w:rsidR="00C609C8">
              <w:rPr>
                <w:rFonts w:cs="Arial"/>
                <w:b/>
                <w:sz w:val="28"/>
              </w:rPr>
              <w:t xml:space="preserve"> Topic Web </w:t>
            </w:r>
          </w:p>
          <w:p w:rsidR="002800BB" w:rsidRDefault="00C609C8">
            <w:pPr>
              <w:jc w:val="center"/>
              <w:rPr>
                <w:rFonts w:cs="Arial"/>
                <w:b/>
                <w:sz w:val="28"/>
              </w:rPr>
            </w:pPr>
            <w:r>
              <w:rPr>
                <w:rFonts w:cs="Arial"/>
                <w:b/>
                <w:sz w:val="28"/>
              </w:rPr>
              <w:t>Spring 2 2018</w:t>
            </w:r>
          </w:p>
        </w:tc>
        <w:tc>
          <w:tcPr>
            <w:tcW w:w="4208" w:type="dxa"/>
            <w:gridSpan w:val="2"/>
            <w:shd w:val="pct12" w:color="auto" w:fill="auto"/>
            <w:vAlign w:val="center"/>
          </w:tcPr>
          <w:p w:rsidR="002800BB" w:rsidRDefault="00C609C8">
            <w:pPr>
              <w:jc w:val="center"/>
              <w:rPr>
                <w:b/>
              </w:rPr>
            </w:pPr>
            <w:r>
              <w:rPr>
                <w:b/>
              </w:rPr>
              <w:t>Music</w:t>
            </w:r>
          </w:p>
        </w:tc>
      </w:tr>
      <w:tr w:rsidR="002800BB" w:rsidTr="00C609C8">
        <w:trPr>
          <w:trHeight w:val="293"/>
        </w:trPr>
        <w:tc>
          <w:tcPr>
            <w:tcW w:w="4197" w:type="dxa"/>
            <w:vMerge w:val="restart"/>
          </w:tcPr>
          <w:p w:rsidR="00B32220" w:rsidRDefault="00B32220" w:rsidP="00B32220">
            <w:pPr>
              <w:jc w:val="center"/>
              <w:rPr>
                <w:sz w:val="22"/>
                <w:u w:val="single"/>
              </w:rPr>
            </w:pPr>
            <w:r>
              <w:rPr>
                <w:sz w:val="22"/>
                <w:u w:val="single"/>
              </w:rPr>
              <w:t>Every day Materials</w:t>
            </w:r>
          </w:p>
          <w:p w:rsidR="00B32220" w:rsidRPr="0082266F" w:rsidRDefault="00B32220" w:rsidP="00B32220">
            <w:pPr>
              <w:rPr>
                <w:sz w:val="22"/>
              </w:rPr>
            </w:pPr>
            <w:r w:rsidRPr="0082266F">
              <w:rPr>
                <w:sz w:val="22"/>
              </w:rPr>
              <w:t xml:space="preserve">We will be using our knowledge of materials and their properties to help </w:t>
            </w:r>
            <w:r>
              <w:rPr>
                <w:sz w:val="22"/>
              </w:rPr>
              <w:t xml:space="preserve">us with Fairy Tale inspired investigations </w:t>
            </w:r>
            <w:proofErr w:type="spellStart"/>
            <w:r>
              <w:rPr>
                <w:sz w:val="22"/>
              </w:rPr>
              <w:t>e.g</w:t>
            </w:r>
            <w:proofErr w:type="spellEnd"/>
            <w:r>
              <w:rPr>
                <w:sz w:val="22"/>
              </w:rPr>
              <w:t xml:space="preserve"> Which material is best to make a raft to help the Billy Goats Gruff cros</w:t>
            </w:r>
            <w:r>
              <w:rPr>
                <w:sz w:val="22"/>
              </w:rPr>
              <w:t>s the river?  W</w:t>
            </w:r>
            <w:r>
              <w:rPr>
                <w:sz w:val="22"/>
              </w:rPr>
              <w:t xml:space="preserve">hich material is strongest </w:t>
            </w:r>
            <w:r>
              <w:rPr>
                <w:sz w:val="22"/>
              </w:rPr>
              <w:t xml:space="preserve">to make a house out of for the 3 Little Pigs </w:t>
            </w:r>
            <w:proofErr w:type="spellStart"/>
            <w:r>
              <w:rPr>
                <w:sz w:val="22"/>
              </w:rPr>
              <w:t>etc</w:t>
            </w:r>
            <w:proofErr w:type="spellEnd"/>
          </w:p>
          <w:p w:rsidR="002800BB" w:rsidRDefault="002800BB" w:rsidP="00C609C8"/>
        </w:tc>
        <w:tc>
          <w:tcPr>
            <w:tcW w:w="6983" w:type="dxa"/>
            <w:gridSpan w:val="4"/>
            <w:vMerge/>
            <w:tcBorders>
              <w:bottom w:val="single" w:sz="4" w:space="0" w:color="auto"/>
            </w:tcBorders>
            <w:shd w:val="pct12" w:color="auto" w:fill="auto"/>
          </w:tcPr>
          <w:p w:rsidR="002800BB" w:rsidRDefault="002800BB"/>
        </w:tc>
        <w:tc>
          <w:tcPr>
            <w:tcW w:w="4208" w:type="dxa"/>
            <w:gridSpan w:val="2"/>
            <w:vMerge w:val="restart"/>
          </w:tcPr>
          <w:p w:rsidR="002800BB" w:rsidRDefault="00C609C8">
            <w:pPr>
              <w:rPr>
                <w:sz w:val="22"/>
              </w:rPr>
            </w:pPr>
            <w:r>
              <w:rPr>
                <w:sz w:val="20"/>
              </w:rPr>
              <w:t>We will be listening to the traditional tale Peter and the Wolf by Sergei Prokofiev, and identifying how the different characters are represented by different instruments.  We will then be creating our own simple musical score of a traditional tale.</w:t>
            </w:r>
          </w:p>
        </w:tc>
      </w:tr>
      <w:tr w:rsidR="002800BB" w:rsidTr="00B32220">
        <w:trPr>
          <w:trHeight w:val="3153"/>
        </w:trPr>
        <w:tc>
          <w:tcPr>
            <w:tcW w:w="4197" w:type="dxa"/>
            <w:vMerge/>
            <w:tcBorders>
              <w:bottom w:val="single" w:sz="4" w:space="0" w:color="auto"/>
            </w:tcBorders>
          </w:tcPr>
          <w:p w:rsidR="002800BB" w:rsidRDefault="002800BB">
            <w:pPr>
              <w:rPr>
                <w:sz w:val="22"/>
              </w:rPr>
            </w:pPr>
          </w:p>
        </w:tc>
        <w:tc>
          <w:tcPr>
            <w:tcW w:w="6983" w:type="dxa"/>
            <w:gridSpan w:val="4"/>
            <w:tcBorders>
              <w:bottom w:val="single" w:sz="4" w:space="0" w:color="auto"/>
            </w:tcBorders>
          </w:tcPr>
          <w:p w:rsidR="002800BB" w:rsidRDefault="002800BB" w:rsidP="00F75AF4">
            <w:pPr>
              <w:rPr>
                <w:rFonts w:ascii="Ravie" w:hAnsi="Ravie" w:cs="Arial"/>
                <w:b/>
                <w:sz w:val="16"/>
              </w:rPr>
            </w:pPr>
          </w:p>
          <w:p w:rsidR="002800BB" w:rsidRPr="00F75AF4" w:rsidRDefault="00F75AF4" w:rsidP="00F75AF4">
            <w:pPr>
              <w:jc w:val="center"/>
              <w:rPr>
                <w:rFonts w:ascii="Arial" w:hAnsi="Arial" w:cs="Arial"/>
                <w:noProof/>
                <w:color w:val="0070C0"/>
                <w:sz w:val="28"/>
                <w:lang w:val="en-GB" w:eastAsia="en-GB"/>
              </w:rPr>
            </w:pPr>
            <w:r w:rsidRPr="00B32220">
              <w:rPr>
                <w:rFonts w:ascii="Curlz MT" w:hAnsi="Curlz MT" w:cs="Arial"/>
                <w:b/>
                <w:color w:val="0070C0"/>
                <w:sz w:val="52"/>
                <w:szCs w:val="52"/>
              </w:rPr>
              <w:t>Fabulous Fairy Tales</w:t>
            </w:r>
            <w:r w:rsidRPr="00F75AF4">
              <w:rPr>
                <w:rFonts w:ascii="Arial" w:hAnsi="Arial" w:cs="Arial"/>
                <w:color w:val="0070C0"/>
                <w:sz w:val="28"/>
              </w:rPr>
              <w:t xml:space="preserve">                               </w:t>
            </w:r>
            <w:r w:rsidR="00C609C8" w:rsidRPr="00F75AF4">
              <w:rPr>
                <w:rFonts w:ascii="Arial" w:hAnsi="Arial" w:cs="Arial"/>
                <w:color w:val="0070C0"/>
                <w:sz w:val="28"/>
              </w:rPr>
              <w:t xml:space="preserve">  </w:t>
            </w:r>
            <w:r>
              <w:rPr>
                <w:noProof/>
                <w:color w:val="0000FF"/>
                <w:lang w:val="en-GB" w:eastAsia="en-GB"/>
              </w:rPr>
              <w:drawing>
                <wp:inline distT="0" distB="0" distL="0" distR="0" wp14:anchorId="617E2FA8" wp14:editId="40F72C27">
                  <wp:extent cx="419100" cy="1447800"/>
                  <wp:effectExtent l="0" t="0" r="0" b="0"/>
                  <wp:docPr id="2" name="Picture 2" descr="C:\Users\s.rogers\AppData\Local\Microsoft\Windows\Temporary Internet Files\Content.IE5\A6RYCYQ4\la_fairytales_jack_beanstal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ogers\AppData\Local\Microsoft\Windows\Temporary Internet Files\Content.IE5\A6RYCYQ4\la_fairytales_jack_beanstalk[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31" cy="1452053"/>
                          </a:xfrm>
                          <a:prstGeom prst="rect">
                            <a:avLst/>
                          </a:prstGeom>
                          <a:noFill/>
                          <a:ln>
                            <a:noFill/>
                          </a:ln>
                        </pic:spPr>
                      </pic:pic>
                    </a:graphicData>
                  </a:graphic>
                </wp:inline>
              </w:drawing>
            </w:r>
            <w:r>
              <w:rPr>
                <w:rFonts w:ascii="Arial" w:hAnsi="Arial" w:cs="Arial"/>
                <w:noProof/>
                <w:color w:val="0070C0"/>
                <w:sz w:val="28"/>
                <w:lang w:val="en-GB" w:eastAsia="en-GB"/>
              </w:rPr>
              <w:t xml:space="preserve">    </w:t>
            </w:r>
            <w:r>
              <w:rPr>
                <w:rFonts w:ascii="Arial" w:hAnsi="Arial" w:cs="Arial"/>
                <w:noProof/>
                <w:color w:val="0070C0"/>
                <w:sz w:val="28"/>
                <w:lang w:val="en-GB" w:eastAsia="en-GB"/>
              </w:rPr>
              <w:drawing>
                <wp:inline distT="0" distB="0" distL="0" distR="0" wp14:anchorId="6565B220" wp14:editId="096F6D4A">
                  <wp:extent cx="2260599" cy="1130300"/>
                  <wp:effectExtent l="0" t="0" r="6985" b="0"/>
                  <wp:docPr id="5" name="Picture 5" descr="C:\Users\s.rogers\AppData\Local\Microsoft\Windows\Temporary Internet Files\Content.IE5\88CDU3F4\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ogers\AppData\Local\Microsoft\Windows\Temporary Internet Files\Content.IE5\88CDU3F4\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2708" cy="1131355"/>
                          </a:xfrm>
                          <a:prstGeom prst="rect">
                            <a:avLst/>
                          </a:prstGeom>
                          <a:noFill/>
                          <a:ln>
                            <a:noFill/>
                          </a:ln>
                        </pic:spPr>
                      </pic:pic>
                    </a:graphicData>
                  </a:graphic>
                </wp:inline>
              </w:drawing>
            </w:r>
            <w:r>
              <w:rPr>
                <w:rFonts w:ascii="Arial" w:hAnsi="Arial" w:cs="Arial"/>
                <w:noProof/>
                <w:color w:val="0070C0"/>
                <w:sz w:val="28"/>
                <w:lang w:val="en-GB" w:eastAsia="en-GB"/>
              </w:rPr>
              <w:t xml:space="preserve">                      </w:t>
            </w:r>
          </w:p>
          <w:p w:rsidR="002800BB" w:rsidRPr="00F75AF4" w:rsidRDefault="00C609C8" w:rsidP="00F75AF4">
            <w:pPr>
              <w:numPr>
                <w:ilvl w:val="0"/>
                <w:numId w:val="1"/>
              </w:numPr>
              <w:ind w:left="0"/>
              <w:rPr>
                <w:rFonts w:ascii="Arial" w:eastAsia="Times New Roman" w:hAnsi="Arial" w:cs="Arial"/>
                <w:color w:val="222222"/>
                <w:sz w:val="27"/>
                <w:szCs w:val="27"/>
                <w:lang w:val="en-GB" w:eastAsia="en-GB"/>
              </w:rPr>
            </w:pPr>
            <w:r>
              <w:rPr>
                <w:rFonts w:ascii="Arial" w:hAnsi="Arial" w:cs="Arial"/>
                <w:sz w:val="28"/>
              </w:rPr>
              <w:t xml:space="preserve">                  </w:t>
            </w:r>
            <w:r>
              <w:rPr>
                <w:noProof/>
                <w:lang w:val="en-GB" w:eastAsia="en-GB"/>
              </w:rPr>
              <w:drawing>
                <wp:anchor distT="36576" distB="36576" distL="36576" distR="36576" simplePos="0" relativeHeight="251671552" behindDoc="0" locked="0" layoutInCell="1" allowOverlap="1" wp14:anchorId="12C0666F" wp14:editId="7A266CCA">
                  <wp:simplePos x="0" y="0"/>
                  <wp:positionH relativeFrom="column">
                    <wp:posOffset>48754665</wp:posOffset>
                  </wp:positionH>
                  <wp:positionV relativeFrom="paragraph">
                    <wp:posOffset>1691640</wp:posOffset>
                  </wp:positionV>
                  <wp:extent cx="4162425" cy="3843020"/>
                  <wp:effectExtent l="0" t="0" r="9525" b="5080"/>
                  <wp:wrapNone/>
                  <wp:docPr id="10" name="Picture 10" descr="green-australia-map-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australia-map-h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3843020"/>
                          </a:xfrm>
                          <a:prstGeom prst="rect">
                            <a:avLst/>
                          </a:prstGeom>
                          <a:noFill/>
                          <a:ln>
                            <a:noFill/>
                          </a:ln>
                          <a:effectLst/>
                        </pic:spPr>
                      </pic:pic>
                    </a:graphicData>
                  </a:graphic>
                </wp:anchor>
              </w:drawing>
            </w:r>
          </w:p>
        </w:tc>
        <w:tc>
          <w:tcPr>
            <w:tcW w:w="4208" w:type="dxa"/>
            <w:gridSpan w:val="2"/>
            <w:vMerge/>
            <w:tcBorders>
              <w:bottom w:val="single" w:sz="4" w:space="0" w:color="auto"/>
            </w:tcBorders>
          </w:tcPr>
          <w:p w:rsidR="002800BB" w:rsidRDefault="002800BB">
            <w:pPr>
              <w:rPr>
                <w:sz w:val="22"/>
              </w:rPr>
            </w:pPr>
          </w:p>
        </w:tc>
      </w:tr>
      <w:tr w:rsidR="00C609C8" w:rsidTr="005F1BB0">
        <w:trPr>
          <w:trHeight w:val="408"/>
        </w:trPr>
        <w:tc>
          <w:tcPr>
            <w:tcW w:w="4197" w:type="dxa"/>
            <w:shd w:val="pct12" w:color="auto" w:fill="auto"/>
            <w:vAlign w:val="center"/>
          </w:tcPr>
          <w:p w:rsidR="00C609C8" w:rsidRDefault="00B32220" w:rsidP="0082266F">
            <w:pPr>
              <w:jc w:val="center"/>
              <w:rPr>
                <w:b/>
              </w:rPr>
            </w:pPr>
            <w:r>
              <w:rPr>
                <w:b/>
              </w:rPr>
              <w:t>Topic</w:t>
            </w:r>
          </w:p>
        </w:tc>
        <w:tc>
          <w:tcPr>
            <w:tcW w:w="3282" w:type="dxa"/>
            <w:gridSpan w:val="2"/>
            <w:shd w:val="pct12" w:color="auto" w:fill="auto"/>
            <w:vAlign w:val="center"/>
          </w:tcPr>
          <w:p w:rsidR="00C609C8" w:rsidRDefault="00C609C8">
            <w:pPr>
              <w:jc w:val="center"/>
              <w:rPr>
                <w:b/>
              </w:rPr>
            </w:pPr>
            <w:r>
              <w:rPr>
                <w:b/>
              </w:rPr>
              <w:t>RE</w:t>
            </w:r>
          </w:p>
        </w:tc>
        <w:tc>
          <w:tcPr>
            <w:tcW w:w="2694" w:type="dxa"/>
            <w:shd w:val="pct12" w:color="auto" w:fill="auto"/>
            <w:vAlign w:val="center"/>
          </w:tcPr>
          <w:p w:rsidR="00C609C8" w:rsidRDefault="00C609C8">
            <w:pPr>
              <w:jc w:val="center"/>
              <w:rPr>
                <w:b/>
              </w:rPr>
            </w:pPr>
            <w:r>
              <w:rPr>
                <w:b/>
              </w:rPr>
              <w:t>P</w:t>
            </w:r>
            <w:r w:rsidR="005F1BB0">
              <w:rPr>
                <w:b/>
              </w:rPr>
              <w:t>SH</w:t>
            </w:r>
            <w:r>
              <w:rPr>
                <w:b/>
              </w:rPr>
              <w:t>E</w:t>
            </w:r>
          </w:p>
        </w:tc>
        <w:tc>
          <w:tcPr>
            <w:tcW w:w="1984" w:type="dxa"/>
            <w:gridSpan w:val="2"/>
            <w:shd w:val="pct12" w:color="auto" w:fill="auto"/>
            <w:vAlign w:val="center"/>
          </w:tcPr>
          <w:p w:rsidR="00C609C8" w:rsidRDefault="005F1BB0">
            <w:pPr>
              <w:jc w:val="center"/>
              <w:rPr>
                <w:b/>
              </w:rPr>
            </w:pPr>
            <w:r>
              <w:rPr>
                <w:b/>
              </w:rPr>
              <w:t>P.E</w:t>
            </w:r>
          </w:p>
        </w:tc>
        <w:tc>
          <w:tcPr>
            <w:tcW w:w="3231" w:type="dxa"/>
            <w:shd w:val="pct12" w:color="auto" w:fill="auto"/>
            <w:vAlign w:val="center"/>
          </w:tcPr>
          <w:p w:rsidR="00C609C8" w:rsidRDefault="00C609C8">
            <w:pPr>
              <w:jc w:val="center"/>
              <w:rPr>
                <w:b/>
              </w:rPr>
            </w:pPr>
            <w:r>
              <w:rPr>
                <w:b/>
              </w:rPr>
              <w:t>Art and Design</w:t>
            </w:r>
          </w:p>
        </w:tc>
      </w:tr>
      <w:tr w:rsidR="00C609C8" w:rsidTr="005F1BB0">
        <w:trPr>
          <w:trHeight w:val="1259"/>
        </w:trPr>
        <w:tc>
          <w:tcPr>
            <w:tcW w:w="4197" w:type="dxa"/>
          </w:tcPr>
          <w:p w:rsidR="0082266F" w:rsidRDefault="00B32220" w:rsidP="00B32220">
            <w:pPr>
              <w:rPr>
                <w:sz w:val="20"/>
              </w:rPr>
            </w:pPr>
            <w:r>
              <w:rPr>
                <w:sz w:val="20"/>
              </w:rPr>
              <w:t xml:space="preserve">We will read a wide </w:t>
            </w:r>
            <w:r w:rsidR="00EF29E7">
              <w:rPr>
                <w:sz w:val="20"/>
              </w:rPr>
              <w:t>range of traditional Fairy Tales</w:t>
            </w:r>
            <w:r>
              <w:rPr>
                <w:sz w:val="20"/>
              </w:rPr>
              <w:t xml:space="preserve"> and identify the main characters and themes in them to help us write simple journals and letters in character.</w:t>
            </w:r>
          </w:p>
          <w:p w:rsidR="00B32220" w:rsidRDefault="00B32220" w:rsidP="00B32220">
            <w:pPr>
              <w:rPr>
                <w:sz w:val="20"/>
              </w:rPr>
            </w:pPr>
            <w:r>
              <w:rPr>
                <w:sz w:val="20"/>
              </w:rPr>
              <w:t xml:space="preserve">We will base our Geography mapping skills </w:t>
            </w:r>
            <w:proofErr w:type="spellStart"/>
            <w:r>
              <w:rPr>
                <w:sz w:val="20"/>
              </w:rPr>
              <w:t>etc</w:t>
            </w:r>
            <w:proofErr w:type="spellEnd"/>
            <w:r>
              <w:rPr>
                <w:sz w:val="20"/>
              </w:rPr>
              <w:t xml:space="preserve"> around the book, The Jolly Postman </w:t>
            </w:r>
            <w:r w:rsidR="00EF29E7">
              <w:rPr>
                <w:sz w:val="20"/>
              </w:rPr>
              <w:t xml:space="preserve">by Alan </w:t>
            </w:r>
            <w:proofErr w:type="spellStart"/>
            <w:r w:rsidR="00EF29E7">
              <w:rPr>
                <w:sz w:val="20"/>
              </w:rPr>
              <w:t>A</w:t>
            </w:r>
            <w:r>
              <w:rPr>
                <w:sz w:val="20"/>
              </w:rPr>
              <w:t>h</w:t>
            </w:r>
            <w:r w:rsidR="00EF29E7">
              <w:rPr>
                <w:sz w:val="20"/>
              </w:rPr>
              <w:t>l</w:t>
            </w:r>
            <w:r>
              <w:rPr>
                <w:sz w:val="20"/>
              </w:rPr>
              <w:t>berg</w:t>
            </w:r>
            <w:proofErr w:type="spellEnd"/>
          </w:p>
        </w:tc>
        <w:tc>
          <w:tcPr>
            <w:tcW w:w="3282" w:type="dxa"/>
            <w:gridSpan w:val="2"/>
          </w:tcPr>
          <w:p w:rsidR="00C609C8" w:rsidRDefault="00320DD2" w:rsidP="00320DD2">
            <w:pPr>
              <w:rPr>
                <w:rFonts w:cs="Arial"/>
                <w:sz w:val="20"/>
                <w:u w:val="single"/>
              </w:rPr>
            </w:pPr>
            <w:r>
              <w:rPr>
                <w:rFonts w:cs="Arial"/>
                <w:sz w:val="20"/>
                <w:u w:val="single"/>
              </w:rPr>
              <w:t>Salvation</w:t>
            </w:r>
          </w:p>
          <w:p w:rsidR="0082266F" w:rsidRPr="005F1BB0" w:rsidRDefault="00320DD2" w:rsidP="0082266F">
            <w:pPr>
              <w:rPr>
                <w:rFonts w:cs="Arial"/>
                <w:sz w:val="20"/>
              </w:rPr>
            </w:pPr>
            <w:r>
              <w:rPr>
                <w:rFonts w:cs="Arial"/>
                <w:sz w:val="20"/>
              </w:rPr>
              <w:t>We will be learning about the importance of the Easter story to Christians.</w:t>
            </w:r>
            <w:bookmarkStart w:id="0" w:name="_GoBack"/>
            <w:bookmarkEnd w:id="0"/>
          </w:p>
          <w:p w:rsidR="0082266F" w:rsidRPr="00320DD2" w:rsidRDefault="0082266F" w:rsidP="00320DD2">
            <w:pPr>
              <w:rPr>
                <w:rFonts w:cs="Arial"/>
                <w:sz w:val="20"/>
              </w:rPr>
            </w:pPr>
          </w:p>
        </w:tc>
        <w:tc>
          <w:tcPr>
            <w:tcW w:w="2694" w:type="dxa"/>
          </w:tcPr>
          <w:p w:rsidR="005F1BB0" w:rsidRPr="00C609C8" w:rsidRDefault="005F1BB0" w:rsidP="005F1BB0">
            <w:pPr>
              <w:rPr>
                <w:sz w:val="20"/>
                <w:u w:val="single"/>
              </w:rPr>
            </w:pPr>
            <w:r w:rsidRPr="00C609C8">
              <w:rPr>
                <w:sz w:val="20"/>
                <w:u w:val="single"/>
              </w:rPr>
              <w:t>Falling out and getting on</w:t>
            </w:r>
          </w:p>
          <w:p w:rsidR="005F1BB0" w:rsidRDefault="005F1BB0" w:rsidP="005F1BB0">
            <w:pPr>
              <w:rPr>
                <w:sz w:val="20"/>
              </w:rPr>
            </w:pPr>
            <w:r>
              <w:rPr>
                <w:sz w:val="20"/>
              </w:rPr>
              <w:t>We will be talking about how we get on with each other, and what to do when we fall out.</w:t>
            </w:r>
          </w:p>
          <w:p w:rsidR="00C609C8" w:rsidRDefault="00C609C8">
            <w:pPr>
              <w:rPr>
                <w:sz w:val="20"/>
              </w:rPr>
            </w:pPr>
          </w:p>
        </w:tc>
        <w:tc>
          <w:tcPr>
            <w:tcW w:w="1984" w:type="dxa"/>
            <w:gridSpan w:val="2"/>
          </w:tcPr>
          <w:p w:rsidR="00C609C8" w:rsidRPr="00C609C8" w:rsidRDefault="005F1BB0" w:rsidP="00C609C8">
            <w:pPr>
              <w:rPr>
                <w:sz w:val="20"/>
              </w:rPr>
            </w:pPr>
            <w:r>
              <w:rPr>
                <w:sz w:val="20"/>
              </w:rPr>
              <w:t>We will continue to work with the sports coach.</w:t>
            </w:r>
          </w:p>
        </w:tc>
        <w:tc>
          <w:tcPr>
            <w:tcW w:w="3231" w:type="dxa"/>
          </w:tcPr>
          <w:p w:rsidR="00C609C8" w:rsidRDefault="00B54A73">
            <w:pPr>
              <w:rPr>
                <w:sz w:val="20"/>
              </w:rPr>
            </w:pPr>
            <w:r>
              <w:rPr>
                <w:sz w:val="20"/>
              </w:rPr>
              <w:t xml:space="preserve">We will be </w:t>
            </w:r>
            <w:r w:rsidR="00C609C8">
              <w:rPr>
                <w:sz w:val="20"/>
              </w:rPr>
              <w:t xml:space="preserve">designing and creating different types of puppets </w:t>
            </w:r>
            <w:r>
              <w:rPr>
                <w:sz w:val="20"/>
              </w:rPr>
              <w:t>of traditional tale characters using a variety of media.</w:t>
            </w:r>
          </w:p>
          <w:p w:rsidR="00C609C8" w:rsidRDefault="00C609C8">
            <w:pPr>
              <w:rPr>
                <w:sz w:val="20"/>
              </w:rPr>
            </w:pPr>
          </w:p>
        </w:tc>
      </w:tr>
    </w:tbl>
    <w:p w:rsidR="002800BB" w:rsidRDefault="002800BB">
      <w:pPr>
        <w:rPr>
          <w:sz w:val="2"/>
        </w:rPr>
      </w:pPr>
    </w:p>
    <w:sectPr w:rsidR="002800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E39"/>
    <w:multiLevelType w:val="hybridMultilevel"/>
    <w:tmpl w:val="875E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492FBA"/>
    <w:multiLevelType w:val="hybridMultilevel"/>
    <w:tmpl w:val="262CD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387997"/>
    <w:multiLevelType w:val="hybridMultilevel"/>
    <w:tmpl w:val="EB98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BB"/>
    <w:rsid w:val="000B37ED"/>
    <w:rsid w:val="00197AFE"/>
    <w:rsid w:val="002800BB"/>
    <w:rsid w:val="00320DD2"/>
    <w:rsid w:val="005F1BB0"/>
    <w:rsid w:val="0082266F"/>
    <w:rsid w:val="00B32220"/>
    <w:rsid w:val="00B54A73"/>
    <w:rsid w:val="00C609C8"/>
    <w:rsid w:val="00C75EDF"/>
    <w:rsid w:val="00EF29E7"/>
    <w:rsid w:val="00F75A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Stella Rogers</cp:lastModifiedBy>
  <cp:revision>2</cp:revision>
  <cp:lastPrinted>2018-02-21T14:30:00Z</cp:lastPrinted>
  <dcterms:created xsi:type="dcterms:W3CDTF">2018-02-21T14:32:00Z</dcterms:created>
  <dcterms:modified xsi:type="dcterms:W3CDTF">2018-02-21T14:32:00Z</dcterms:modified>
</cp:coreProperties>
</file>