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268"/>
        <w:gridCol w:w="377"/>
        <w:gridCol w:w="2741"/>
        <w:gridCol w:w="1418"/>
        <w:gridCol w:w="4515"/>
      </w:tblGrid>
      <w:tr w:rsidR="00977F7A" w:rsidTr="00366BA8">
        <w:trPr>
          <w:trHeight w:val="551"/>
        </w:trPr>
        <w:tc>
          <w:tcPr>
            <w:tcW w:w="7148" w:type="dxa"/>
            <w:gridSpan w:val="4"/>
            <w:shd w:val="clear" w:color="auto" w:fill="E5DFEC" w:themeFill="accent4" w:themeFillTint="33"/>
            <w:vAlign w:val="center"/>
          </w:tcPr>
          <w:p w:rsidR="00977F7A" w:rsidRPr="00C336A4" w:rsidRDefault="00282E01">
            <w:pPr>
              <w:jc w:val="center"/>
              <w:rPr>
                <w:b/>
                <w:color w:val="FF0000"/>
                <w:sz w:val="28"/>
              </w:rPr>
            </w:pPr>
            <w:bookmarkStart w:id="0" w:name="_GoBack"/>
            <w:bookmarkEnd w:id="0"/>
            <w:r w:rsidRPr="00C336A4">
              <w:rPr>
                <w:b/>
                <w:sz w:val="28"/>
              </w:rPr>
              <w:t>Literacy</w:t>
            </w:r>
          </w:p>
        </w:tc>
        <w:tc>
          <w:tcPr>
            <w:tcW w:w="8674" w:type="dxa"/>
            <w:gridSpan w:val="3"/>
            <w:shd w:val="clear" w:color="auto" w:fill="E5DFEC" w:themeFill="accent4" w:themeFillTint="33"/>
            <w:vAlign w:val="center"/>
          </w:tcPr>
          <w:p w:rsidR="00977F7A" w:rsidRPr="007C6CAE" w:rsidRDefault="00282E01">
            <w:pPr>
              <w:jc w:val="center"/>
              <w:rPr>
                <w:b/>
                <w:color w:val="FF0000"/>
                <w:sz w:val="28"/>
              </w:rPr>
            </w:pPr>
            <w:r w:rsidRPr="007C6CAE">
              <w:rPr>
                <w:b/>
                <w:sz w:val="28"/>
              </w:rPr>
              <w:t>Numeracy</w:t>
            </w:r>
          </w:p>
        </w:tc>
      </w:tr>
      <w:tr w:rsidR="00977F7A" w:rsidTr="006403AE">
        <w:trPr>
          <w:trHeight w:val="3549"/>
        </w:trPr>
        <w:tc>
          <w:tcPr>
            <w:tcW w:w="7148" w:type="dxa"/>
            <w:gridSpan w:val="4"/>
            <w:tcBorders>
              <w:bottom w:val="single" w:sz="4" w:space="0" w:color="auto"/>
            </w:tcBorders>
          </w:tcPr>
          <w:p w:rsidR="00B15023" w:rsidRPr="00C336A4" w:rsidRDefault="00B15023">
            <w:pPr>
              <w:rPr>
                <w:b/>
                <w:sz w:val="18"/>
                <w:szCs w:val="17"/>
              </w:rPr>
            </w:pPr>
            <w:r w:rsidRPr="00C336A4">
              <w:rPr>
                <w:b/>
                <w:sz w:val="18"/>
                <w:szCs w:val="17"/>
              </w:rPr>
              <w:t>In literacy, this h</w:t>
            </w:r>
            <w:r w:rsidR="0010563D" w:rsidRPr="00C336A4">
              <w:rPr>
                <w:b/>
                <w:sz w:val="18"/>
                <w:szCs w:val="17"/>
              </w:rPr>
              <w:t xml:space="preserve">alf term, we will be looking at: </w:t>
            </w:r>
          </w:p>
          <w:p w:rsidR="0010563D" w:rsidRPr="00C336A4" w:rsidRDefault="0010563D">
            <w:pPr>
              <w:rPr>
                <w:b/>
                <w:sz w:val="18"/>
                <w:szCs w:val="17"/>
              </w:rPr>
            </w:pPr>
          </w:p>
          <w:p w:rsidR="007A2315" w:rsidRPr="007A2315" w:rsidRDefault="007A2315" w:rsidP="00716665">
            <w:pPr>
              <w:rPr>
                <w:sz w:val="18"/>
                <w:szCs w:val="17"/>
              </w:rPr>
            </w:pPr>
            <w:r>
              <w:rPr>
                <w:b/>
                <w:sz w:val="18"/>
                <w:szCs w:val="17"/>
              </w:rPr>
              <w:t xml:space="preserve">Explanation Texts: </w:t>
            </w:r>
            <w:r>
              <w:rPr>
                <w:sz w:val="18"/>
                <w:szCs w:val="17"/>
              </w:rPr>
              <w:t xml:space="preserve">In this unit the children will explore the features of explanation texts and learn </w:t>
            </w:r>
            <w:r w:rsidR="002309F9">
              <w:rPr>
                <w:sz w:val="18"/>
                <w:szCs w:val="17"/>
              </w:rPr>
              <w:t xml:space="preserve">investigate </w:t>
            </w:r>
            <w:r>
              <w:rPr>
                <w:sz w:val="18"/>
                <w:szCs w:val="17"/>
              </w:rPr>
              <w:t>the subtle difference</w:t>
            </w:r>
            <w:r w:rsidR="002309F9">
              <w:rPr>
                <w:sz w:val="18"/>
                <w:szCs w:val="17"/>
              </w:rPr>
              <w:t xml:space="preserve">s between explanation texts, </w:t>
            </w:r>
            <w:r>
              <w:rPr>
                <w:sz w:val="18"/>
                <w:szCs w:val="17"/>
              </w:rPr>
              <w:t>instructions</w:t>
            </w:r>
            <w:r w:rsidR="002309F9">
              <w:rPr>
                <w:sz w:val="18"/>
                <w:szCs w:val="17"/>
              </w:rPr>
              <w:t xml:space="preserve"> and information texts. Once the children have a full understanding of the features of explanation texts they will create their own explanation text linked into </w:t>
            </w:r>
          </w:p>
          <w:p w:rsidR="007A2315" w:rsidRDefault="007A2315" w:rsidP="00716665">
            <w:pPr>
              <w:rPr>
                <w:b/>
                <w:sz w:val="18"/>
                <w:szCs w:val="17"/>
              </w:rPr>
            </w:pPr>
          </w:p>
          <w:p w:rsidR="00CF3B86" w:rsidRPr="00C336A4" w:rsidRDefault="0058770E" w:rsidP="00A03AAB">
            <w:pPr>
              <w:rPr>
                <w:sz w:val="18"/>
                <w:szCs w:val="17"/>
              </w:rPr>
            </w:pPr>
            <w:r>
              <w:rPr>
                <w:b/>
                <w:sz w:val="18"/>
                <w:szCs w:val="17"/>
              </w:rPr>
              <w:t>Science Fiction</w:t>
            </w:r>
            <w:r w:rsidR="00C336A4" w:rsidRPr="00C336A4">
              <w:rPr>
                <w:b/>
                <w:sz w:val="18"/>
                <w:szCs w:val="17"/>
              </w:rPr>
              <w:t>:</w:t>
            </w:r>
            <w:r>
              <w:rPr>
                <w:b/>
                <w:sz w:val="18"/>
                <w:szCs w:val="17"/>
              </w:rPr>
              <w:t xml:space="preserve"> </w:t>
            </w:r>
            <w:r w:rsidR="00E8088A" w:rsidRPr="00E8088A">
              <w:rPr>
                <w:sz w:val="18"/>
                <w:szCs w:val="17"/>
              </w:rPr>
              <w:t xml:space="preserve">Prior to </w:t>
            </w:r>
            <w:r w:rsidR="00E8088A">
              <w:rPr>
                <w:sz w:val="18"/>
                <w:szCs w:val="17"/>
              </w:rPr>
              <w:t>commencing this unit the children will have read the majority of The War of the Worlds by HG Wells</w:t>
            </w:r>
            <w:r w:rsidR="00A03AAB">
              <w:rPr>
                <w:sz w:val="18"/>
                <w:szCs w:val="17"/>
              </w:rPr>
              <w:t xml:space="preserve">. </w:t>
            </w:r>
            <w:r w:rsidR="00E8088A">
              <w:rPr>
                <w:sz w:val="18"/>
                <w:szCs w:val="17"/>
              </w:rPr>
              <w:t xml:space="preserve"> </w:t>
            </w:r>
            <w:r w:rsidR="00A03AAB">
              <w:rPr>
                <w:sz w:val="18"/>
                <w:szCs w:val="17"/>
              </w:rPr>
              <w:t xml:space="preserve">Imitating or </w:t>
            </w:r>
            <w:proofErr w:type="gramStart"/>
            <w:r w:rsidR="00A03AAB">
              <w:rPr>
                <w:sz w:val="18"/>
                <w:szCs w:val="17"/>
              </w:rPr>
              <w:t>innovating</w:t>
            </w:r>
            <w:proofErr w:type="gramEnd"/>
            <w:r w:rsidR="00A03AAB">
              <w:rPr>
                <w:sz w:val="18"/>
                <w:szCs w:val="17"/>
              </w:rPr>
              <w:t xml:space="preserve"> his style, the children will plan, edit and publish their own Science Fiction narrative linked into outer space.  </w:t>
            </w:r>
          </w:p>
          <w:p w:rsidR="00981C51" w:rsidRPr="00C336A4" w:rsidRDefault="00981C51" w:rsidP="00875953">
            <w:pPr>
              <w:rPr>
                <w:sz w:val="17"/>
                <w:szCs w:val="17"/>
              </w:rPr>
            </w:pPr>
          </w:p>
          <w:p w:rsidR="00CF3B86" w:rsidRDefault="006E34BB" w:rsidP="00A03AAB">
            <w:pPr>
              <w:rPr>
                <w:sz w:val="17"/>
                <w:szCs w:val="17"/>
              </w:rPr>
            </w:pPr>
            <w:r w:rsidRPr="00C336A4">
              <w:rPr>
                <w:sz w:val="17"/>
                <w:szCs w:val="17"/>
              </w:rPr>
              <w:t>In Guided R</w:t>
            </w:r>
            <w:r w:rsidR="00981C51" w:rsidRPr="00C336A4">
              <w:rPr>
                <w:sz w:val="17"/>
                <w:szCs w:val="17"/>
              </w:rPr>
              <w:t xml:space="preserve">eading and in our Literacy lessons we will be </w:t>
            </w:r>
            <w:r w:rsidR="00C336A4" w:rsidRPr="00C336A4">
              <w:rPr>
                <w:sz w:val="17"/>
                <w:szCs w:val="17"/>
              </w:rPr>
              <w:t xml:space="preserve">reading </w:t>
            </w:r>
            <w:r w:rsidR="00A03AAB">
              <w:rPr>
                <w:sz w:val="17"/>
                <w:szCs w:val="17"/>
              </w:rPr>
              <w:t>War</w:t>
            </w:r>
            <w:r w:rsidR="00716665">
              <w:rPr>
                <w:sz w:val="17"/>
                <w:szCs w:val="17"/>
              </w:rPr>
              <w:t xml:space="preserve"> of the Worlds by H.G Wells</w:t>
            </w:r>
            <w:r w:rsidR="00C336A4" w:rsidRPr="00C336A4">
              <w:rPr>
                <w:sz w:val="17"/>
                <w:szCs w:val="17"/>
              </w:rPr>
              <w:t xml:space="preserve">. We </w:t>
            </w:r>
            <w:r w:rsidR="00A03AAB">
              <w:rPr>
                <w:sz w:val="17"/>
                <w:szCs w:val="17"/>
              </w:rPr>
              <w:t>will also be exploring a range of non-fiction books linked into Earth and Space</w:t>
            </w:r>
            <w:r w:rsidR="001F7898">
              <w:rPr>
                <w:sz w:val="17"/>
                <w:szCs w:val="17"/>
              </w:rPr>
              <w:t>.</w:t>
            </w:r>
          </w:p>
          <w:p w:rsidR="00A03AAB" w:rsidRDefault="00A03AAB" w:rsidP="00A03AAB">
            <w:pPr>
              <w:rPr>
                <w:sz w:val="17"/>
                <w:szCs w:val="17"/>
              </w:rPr>
            </w:pPr>
          </w:p>
          <w:p w:rsidR="00A03AAB" w:rsidRPr="00C336A4" w:rsidRDefault="00A03AAB" w:rsidP="00A03AAB">
            <w:pPr>
              <w:rPr>
                <w:sz w:val="17"/>
                <w:szCs w:val="17"/>
              </w:rPr>
            </w:pPr>
            <w:r>
              <w:rPr>
                <w:sz w:val="17"/>
                <w:szCs w:val="17"/>
              </w:rPr>
              <w:t>In spellings this term we will be continuing with learning the year 5/6 statutory words, personal spellings and words containing ‘</w:t>
            </w:r>
            <w:proofErr w:type="spellStart"/>
            <w:r>
              <w:rPr>
                <w:sz w:val="17"/>
                <w:szCs w:val="17"/>
              </w:rPr>
              <w:t>ie</w:t>
            </w:r>
            <w:proofErr w:type="spellEnd"/>
            <w:r>
              <w:rPr>
                <w:sz w:val="17"/>
                <w:szCs w:val="17"/>
              </w:rPr>
              <w:t>’ and ‘</w:t>
            </w:r>
            <w:proofErr w:type="spellStart"/>
            <w:r>
              <w:rPr>
                <w:sz w:val="17"/>
                <w:szCs w:val="17"/>
              </w:rPr>
              <w:t>ei</w:t>
            </w:r>
            <w:proofErr w:type="spellEnd"/>
            <w:r>
              <w:rPr>
                <w:sz w:val="17"/>
                <w:szCs w:val="17"/>
              </w:rPr>
              <w:t xml:space="preserve">’.  </w:t>
            </w:r>
          </w:p>
        </w:tc>
        <w:tc>
          <w:tcPr>
            <w:tcW w:w="8674" w:type="dxa"/>
            <w:gridSpan w:val="3"/>
            <w:shd w:val="clear" w:color="auto" w:fill="auto"/>
          </w:tcPr>
          <w:p w:rsidR="00A95AFB" w:rsidRPr="00DA5BE7" w:rsidRDefault="00A95AFB" w:rsidP="00A95AFB">
            <w:pPr>
              <w:rPr>
                <w:b/>
                <w:sz w:val="16"/>
                <w:szCs w:val="17"/>
              </w:rPr>
            </w:pPr>
            <w:r w:rsidRPr="00DA5BE7">
              <w:rPr>
                <w:b/>
                <w:sz w:val="16"/>
                <w:szCs w:val="17"/>
              </w:rPr>
              <w:t>In numeracy, this half term, we will be learning about:</w:t>
            </w:r>
          </w:p>
          <w:p w:rsidR="00A95AFB" w:rsidRPr="00DA5BE7" w:rsidRDefault="00A95AFB" w:rsidP="00A95AFB">
            <w:pPr>
              <w:rPr>
                <w:rFonts w:cs="Aharoni"/>
                <w:sz w:val="16"/>
                <w:szCs w:val="20"/>
              </w:rPr>
            </w:pPr>
          </w:p>
          <w:p w:rsidR="009E675C" w:rsidRPr="008D45C9" w:rsidRDefault="009E675C" w:rsidP="009E675C">
            <w:pPr>
              <w:rPr>
                <w:rFonts w:cs="Aharoni"/>
                <w:sz w:val="16"/>
              </w:rPr>
            </w:pPr>
            <w:r>
              <w:rPr>
                <w:rFonts w:cs="Aharoni"/>
                <w:b/>
                <w:sz w:val="16"/>
                <w:szCs w:val="18"/>
              </w:rPr>
              <w:t>Number and Place Value</w:t>
            </w:r>
            <w:r w:rsidRPr="00DA5BE7">
              <w:rPr>
                <w:rFonts w:cs="Aharoni"/>
                <w:b/>
                <w:sz w:val="16"/>
                <w:szCs w:val="18"/>
              </w:rPr>
              <w:t xml:space="preserve">: </w:t>
            </w:r>
            <w:r w:rsidR="008D45C9">
              <w:rPr>
                <w:rFonts w:cs="Aharoni"/>
                <w:sz w:val="16"/>
                <w:szCs w:val="18"/>
              </w:rPr>
              <w:t xml:space="preserve">To count forward and backwards in powers of 10, interpret negative numbers in context, </w:t>
            </w:r>
            <w:r w:rsidR="00664079">
              <w:rPr>
                <w:rFonts w:cs="Aharoni"/>
                <w:sz w:val="16"/>
                <w:szCs w:val="18"/>
              </w:rPr>
              <w:t>to round numbers to help estimate calculations and partition numbers to support multiplication and division.</w:t>
            </w:r>
          </w:p>
          <w:p w:rsidR="009E675C" w:rsidRDefault="009E675C" w:rsidP="00A95AFB">
            <w:pPr>
              <w:rPr>
                <w:b/>
                <w:sz w:val="16"/>
                <w:szCs w:val="18"/>
              </w:rPr>
            </w:pPr>
          </w:p>
          <w:p w:rsidR="00A95AFB" w:rsidRPr="00664079" w:rsidRDefault="00A95AFB" w:rsidP="00A95AFB">
            <w:pPr>
              <w:rPr>
                <w:rFonts w:cs="Aharoni"/>
                <w:sz w:val="22"/>
              </w:rPr>
            </w:pPr>
            <w:r w:rsidRPr="00DA5BE7">
              <w:rPr>
                <w:b/>
                <w:sz w:val="16"/>
                <w:szCs w:val="18"/>
              </w:rPr>
              <w:t xml:space="preserve">Multiplication and Division: </w:t>
            </w:r>
            <w:r w:rsidR="00664079">
              <w:rPr>
                <w:sz w:val="16"/>
                <w:szCs w:val="18"/>
              </w:rPr>
              <w:t xml:space="preserve">To know prime numbers to 50, to know non-prime numbers are called composite, to know all multiplication facts to 12 x 12, to use a range of methods for multiplying 4 digit numbers by one or two digit numbers  and to be able to use short division. </w:t>
            </w:r>
          </w:p>
          <w:p w:rsidR="00A95AFB" w:rsidRPr="00DA5BE7" w:rsidRDefault="00A95AFB" w:rsidP="00A95AFB">
            <w:pPr>
              <w:rPr>
                <w:sz w:val="16"/>
                <w:szCs w:val="17"/>
              </w:rPr>
            </w:pPr>
          </w:p>
          <w:p w:rsidR="00A95AFB" w:rsidRPr="00664079" w:rsidRDefault="00A95AFB" w:rsidP="00A95AFB">
            <w:pPr>
              <w:rPr>
                <w:rFonts w:cs="Aharoni"/>
                <w:sz w:val="16"/>
                <w:szCs w:val="18"/>
              </w:rPr>
            </w:pPr>
            <w:r w:rsidRPr="00DA5BE7">
              <w:rPr>
                <w:b/>
                <w:sz w:val="16"/>
                <w:szCs w:val="18"/>
              </w:rPr>
              <w:t xml:space="preserve">Measurement: </w:t>
            </w:r>
            <w:r w:rsidR="00664079">
              <w:rPr>
                <w:b/>
                <w:sz w:val="16"/>
                <w:szCs w:val="18"/>
              </w:rPr>
              <w:t xml:space="preserve"> </w:t>
            </w:r>
            <w:r w:rsidR="00664079">
              <w:rPr>
                <w:sz w:val="16"/>
                <w:szCs w:val="18"/>
              </w:rPr>
              <w:t xml:space="preserve">To use the four operations, decimal notation and scaling to solve problems involving length, mass, money, area and volume. </w:t>
            </w:r>
          </w:p>
          <w:p w:rsidR="00A95AFB" w:rsidRDefault="00A95AFB" w:rsidP="00A95AFB">
            <w:pPr>
              <w:rPr>
                <w:rFonts w:cs="Aharoni"/>
                <w:sz w:val="16"/>
                <w:szCs w:val="18"/>
              </w:rPr>
            </w:pPr>
          </w:p>
          <w:p w:rsidR="009E675C" w:rsidRPr="00DA5BE7" w:rsidRDefault="009E675C" w:rsidP="009E675C">
            <w:pPr>
              <w:rPr>
                <w:rFonts w:cs="Aharoni"/>
                <w:sz w:val="22"/>
              </w:rPr>
            </w:pPr>
            <w:r w:rsidRPr="00DA5BE7">
              <w:rPr>
                <w:b/>
                <w:sz w:val="16"/>
                <w:szCs w:val="18"/>
              </w:rPr>
              <w:t>Fractions</w:t>
            </w:r>
            <w:r>
              <w:rPr>
                <w:b/>
                <w:sz w:val="16"/>
                <w:szCs w:val="18"/>
              </w:rPr>
              <w:t xml:space="preserve"> Decimals and Percentages</w:t>
            </w:r>
            <w:r w:rsidRPr="00DA5BE7">
              <w:rPr>
                <w:b/>
                <w:sz w:val="16"/>
                <w:szCs w:val="18"/>
              </w:rPr>
              <w:t>:</w:t>
            </w:r>
            <w:r w:rsidR="00664079">
              <w:rPr>
                <w:b/>
                <w:sz w:val="16"/>
                <w:szCs w:val="18"/>
              </w:rPr>
              <w:t xml:space="preserve"> </w:t>
            </w:r>
            <w:r w:rsidR="00664079">
              <w:rPr>
                <w:sz w:val="16"/>
                <w:szCs w:val="18"/>
              </w:rPr>
              <w:t xml:space="preserve">To add and subtract fractions with denominators being multiples of the same numbers, read and write decimals as fractions up to thousandths, round decimals, identify equivalent fractions and recognize the percentage symbol as number of parts per </w:t>
            </w:r>
            <w:r w:rsidR="006403AE">
              <w:rPr>
                <w:sz w:val="16"/>
                <w:szCs w:val="18"/>
              </w:rPr>
              <w:t xml:space="preserve">hundred. </w:t>
            </w:r>
            <w:r w:rsidRPr="00DA5BE7">
              <w:rPr>
                <w:sz w:val="16"/>
                <w:szCs w:val="18"/>
              </w:rPr>
              <w:t xml:space="preserve"> </w:t>
            </w:r>
            <w:r w:rsidR="008D45C9">
              <w:rPr>
                <w:sz w:val="16"/>
                <w:szCs w:val="18"/>
              </w:rPr>
              <w:t xml:space="preserve"> </w:t>
            </w:r>
          </w:p>
          <w:p w:rsidR="00DA5BE7" w:rsidRPr="00DA5BE7" w:rsidRDefault="00DA5BE7" w:rsidP="00A95AFB">
            <w:pPr>
              <w:rPr>
                <w:sz w:val="16"/>
              </w:rPr>
            </w:pPr>
          </w:p>
          <w:p w:rsidR="00A95AFB" w:rsidRPr="006403AE" w:rsidRDefault="00A95AFB" w:rsidP="00740DEB">
            <w:pPr>
              <w:rPr>
                <w:sz w:val="16"/>
                <w:szCs w:val="17"/>
              </w:rPr>
            </w:pPr>
            <w:r w:rsidRPr="00DA5BE7">
              <w:rPr>
                <w:sz w:val="16"/>
                <w:szCs w:val="17"/>
              </w:rPr>
              <w:t xml:space="preserve">The children will be taking part in problem solving in all areas of mathematics. </w:t>
            </w:r>
          </w:p>
        </w:tc>
      </w:tr>
      <w:tr w:rsidR="00977F7A" w:rsidTr="00366BA8">
        <w:trPr>
          <w:trHeight w:val="570"/>
        </w:trPr>
        <w:tc>
          <w:tcPr>
            <w:tcW w:w="4503" w:type="dxa"/>
            <w:gridSpan w:val="2"/>
            <w:shd w:val="clear" w:color="auto" w:fill="E5DFEC" w:themeFill="accent4" w:themeFillTint="33"/>
            <w:vAlign w:val="center"/>
          </w:tcPr>
          <w:p w:rsidR="00977F7A" w:rsidRPr="00DC7014" w:rsidRDefault="00282E01">
            <w:pPr>
              <w:jc w:val="center"/>
              <w:rPr>
                <w:b/>
                <w:color w:val="FF0000"/>
                <w:highlight w:val="yellow"/>
              </w:rPr>
            </w:pPr>
            <w:r w:rsidRPr="00E72F19">
              <w:rPr>
                <w:b/>
                <w:sz w:val="28"/>
              </w:rPr>
              <w:t>Science</w:t>
            </w:r>
          </w:p>
        </w:tc>
        <w:tc>
          <w:tcPr>
            <w:tcW w:w="6804" w:type="dxa"/>
            <w:gridSpan w:val="4"/>
            <w:vMerge w:val="restart"/>
            <w:shd w:val="clear" w:color="auto" w:fill="E5DFEC" w:themeFill="accent4" w:themeFillTint="33"/>
            <w:vAlign w:val="center"/>
          </w:tcPr>
          <w:p w:rsidR="00977F7A" w:rsidRDefault="00E72F19">
            <w:pPr>
              <w:jc w:val="center"/>
              <w:rPr>
                <w:rFonts w:cs="Arial"/>
                <w:b/>
                <w:sz w:val="28"/>
              </w:rPr>
            </w:pPr>
            <w:r>
              <w:rPr>
                <w:rFonts w:cs="Arial"/>
                <w:b/>
                <w:sz w:val="28"/>
              </w:rPr>
              <w:t>Silver Birch</w:t>
            </w:r>
            <w:r w:rsidR="00DC7014">
              <w:rPr>
                <w:rFonts w:cs="Arial"/>
                <w:b/>
                <w:sz w:val="28"/>
              </w:rPr>
              <w:t xml:space="preserve"> </w:t>
            </w:r>
            <w:r w:rsidR="007A4283">
              <w:rPr>
                <w:rFonts w:cs="Arial"/>
                <w:b/>
                <w:sz w:val="28"/>
              </w:rPr>
              <w:t>Class</w:t>
            </w:r>
            <w:r w:rsidR="00282E01">
              <w:rPr>
                <w:rFonts w:cs="Arial"/>
                <w:b/>
                <w:sz w:val="28"/>
              </w:rPr>
              <w:t xml:space="preserve"> Topic Web </w:t>
            </w:r>
          </w:p>
          <w:p w:rsidR="00977F7A" w:rsidRDefault="00716665">
            <w:pPr>
              <w:jc w:val="center"/>
              <w:rPr>
                <w:rFonts w:cs="Arial"/>
                <w:b/>
                <w:sz w:val="28"/>
              </w:rPr>
            </w:pPr>
            <w:r>
              <w:rPr>
                <w:rFonts w:cs="Arial"/>
                <w:b/>
                <w:sz w:val="28"/>
              </w:rPr>
              <w:t>Spring 1 2018</w:t>
            </w:r>
          </w:p>
        </w:tc>
        <w:tc>
          <w:tcPr>
            <w:tcW w:w="4515" w:type="dxa"/>
            <w:shd w:val="clear" w:color="auto" w:fill="E5DFEC" w:themeFill="accent4" w:themeFillTint="33"/>
            <w:vAlign w:val="center"/>
          </w:tcPr>
          <w:p w:rsidR="00977F7A" w:rsidRPr="00855C3F" w:rsidRDefault="00716665" w:rsidP="00C96365">
            <w:pPr>
              <w:jc w:val="center"/>
              <w:rPr>
                <w:b/>
              </w:rPr>
            </w:pPr>
            <w:r w:rsidRPr="007A2315">
              <w:rPr>
                <w:b/>
                <w:sz w:val="28"/>
              </w:rPr>
              <w:t>History</w:t>
            </w:r>
            <w:r>
              <w:rPr>
                <w:b/>
                <w:sz w:val="28"/>
              </w:rPr>
              <w:t xml:space="preserve"> </w:t>
            </w:r>
          </w:p>
        </w:tc>
      </w:tr>
      <w:tr w:rsidR="00977F7A" w:rsidTr="003E7632">
        <w:trPr>
          <w:trHeight w:val="293"/>
        </w:trPr>
        <w:tc>
          <w:tcPr>
            <w:tcW w:w="4503" w:type="dxa"/>
            <w:gridSpan w:val="2"/>
            <w:vMerge w:val="restart"/>
          </w:tcPr>
          <w:p w:rsidR="007A2315" w:rsidRDefault="007A2315" w:rsidP="008D7FCD">
            <w:pPr>
              <w:rPr>
                <w:sz w:val="18"/>
                <w:szCs w:val="18"/>
              </w:rPr>
            </w:pPr>
          </w:p>
          <w:p w:rsidR="007A2315" w:rsidRPr="007A2315" w:rsidRDefault="007A2315" w:rsidP="007A2315">
            <w:pPr>
              <w:shd w:val="clear" w:color="auto" w:fill="FFFFFF"/>
              <w:spacing w:after="75"/>
              <w:rPr>
                <w:rFonts w:eastAsia="Times New Roman" w:cs="Arial"/>
                <w:color w:val="0B0C0C"/>
                <w:sz w:val="18"/>
                <w:szCs w:val="18"/>
                <w:lang w:val="en-GB" w:eastAsia="en-GB"/>
              </w:rPr>
            </w:pPr>
            <w:r w:rsidRPr="007A2315">
              <w:rPr>
                <w:sz w:val="18"/>
                <w:szCs w:val="18"/>
              </w:rPr>
              <w:t xml:space="preserve">Within science this half term we will be learning about Earth and Space. The children will learn how to </w:t>
            </w:r>
            <w:r w:rsidRPr="007A2315">
              <w:rPr>
                <w:rFonts w:eastAsia="Times New Roman" w:cs="Arial"/>
                <w:color w:val="0B0C0C"/>
                <w:sz w:val="18"/>
                <w:szCs w:val="18"/>
                <w:lang w:val="en-GB" w:eastAsia="en-GB"/>
              </w:rPr>
              <w:t>describe the movement of the Earth and other planets relative to the sun in the solar system</w:t>
            </w:r>
            <w:r>
              <w:rPr>
                <w:rFonts w:eastAsia="Times New Roman" w:cs="Arial"/>
                <w:color w:val="0B0C0C"/>
                <w:sz w:val="18"/>
                <w:szCs w:val="18"/>
                <w:lang w:val="en-GB" w:eastAsia="en-GB"/>
              </w:rPr>
              <w:t xml:space="preserve">, </w:t>
            </w:r>
            <w:r w:rsidRPr="007A2315">
              <w:rPr>
                <w:rFonts w:eastAsia="Times New Roman" w:cs="Arial"/>
                <w:color w:val="0B0C0C"/>
                <w:sz w:val="18"/>
                <w:szCs w:val="18"/>
                <w:lang w:val="en-GB" w:eastAsia="en-GB"/>
              </w:rPr>
              <w:t>describe the movement of the moon relative to the Earth</w:t>
            </w:r>
            <w:r>
              <w:rPr>
                <w:rFonts w:eastAsia="Times New Roman" w:cs="Arial"/>
                <w:color w:val="0B0C0C"/>
                <w:sz w:val="18"/>
                <w:szCs w:val="18"/>
                <w:lang w:val="en-GB" w:eastAsia="en-GB"/>
              </w:rPr>
              <w:t xml:space="preserve">, </w:t>
            </w:r>
            <w:r w:rsidRPr="007A2315">
              <w:rPr>
                <w:rFonts w:eastAsia="Times New Roman" w:cs="Arial"/>
                <w:color w:val="0B0C0C"/>
                <w:sz w:val="18"/>
                <w:szCs w:val="18"/>
                <w:lang w:val="en-GB" w:eastAsia="en-GB"/>
              </w:rPr>
              <w:t>describe the sun, Earth and moon as approximately spherical bodies</w:t>
            </w:r>
            <w:r>
              <w:rPr>
                <w:rFonts w:eastAsia="Times New Roman" w:cs="Arial"/>
                <w:color w:val="0B0C0C"/>
                <w:sz w:val="18"/>
                <w:szCs w:val="18"/>
                <w:lang w:val="en-GB" w:eastAsia="en-GB"/>
              </w:rPr>
              <w:t xml:space="preserve"> and </w:t>
            </w:r>
            <w:r w:rsidRPr="007A2315">
              <w:rPr>
                <w:rFonts w:eastAsia="Times New Roman" w:cs="Arial"/>
                <w:color w:val="0B0C0C"/>
                <w:sz w:val="18"/>
                <w:szCs w:val="18"/>
                <w:lang w:val="en-GB" w:eastAsia="en-GB"/>
              </w:rPr>
              <w:t>use the idea of the Earth’s rotation to explain day and night and the apparent movement of the sun across the sky</w:t>
            </w:r>
            <w:r>
              <w:rPr>
                <w:rFonts w:eastAsia="Times New Roman" w:cs="Arial"/>
                <w:color w:val="0B0C0C"/>
                <w:sz w:val="18"/>
                <w:szCs w:val="18"/>
                <w:lang w:val="en-GB" w:eastAsia="en-GB"/>
              </w:rPr>
              <w:t xml:space="preserve">. </w:t>
            </w:r>
          </w:p>
          <w:p w:rsidR="0089275F" w:rsidRPr="007A2315" w:rsidRDefault="0089275F" w:rsidP="008D7FCD">
            <w:pPr>
              <w:rPr>
                <w:color w:val="FF0000"/>
                <w:sz w:val="18"/>
                <w:szCs w:val="18"/>
                <w:highlight w:val="yellow"/>
              </w:rPr>
            </w:pPr>
          </w:p>
        </w:tc>
        <w:tc>
          <w:tcPr>
            <w:tcW w:w="6804" w:type="dxa"/>
            <w:gridSpan w:val="4"/>
            <w:vMerge/>
            <w:tcBorders>
              <w:bottom w:val="single" w:sz="4" w:space="0" w:color="auto"/>
            </w:tcBorders>
            <w:shd w:val="pct12" w:color="auto" w:fill="auto"/>
          </w:tcPr>
          <w:p w:rsidR="00977F7A" w:rsidRDefault="00977F7A"/>
        </w:tc>
        <w:tc>
          <w:tcPr>
            <w:tcW w:w="4515" w:type="dxa"/>
            <w:vMerge w:val="restart"/>
          </w:tcPr>
          <w:p w:rsidR="00A03AAB" w:rsidRDefault="00A03AAB" w:rsidP="00C336A4">
            <w:pPr>
              <w:rPr>
                <w:sz w:val="17"/>
                <w:szCs w:val="17"/>
              </w:rPr>
            </w:pPr>
          </w:p>
          <w:p w:rsidR="0021749F" w:rsidRDefault="00A03AAB" w:rsidP="00C336A4">
            <w:pPr>
              <w:rPr>
                <w:sz w:val="17"/>
                <w:szCs w:val="17"/>
              </w:rPr>
            </w:pPr>
            <w:r>
              <w:rPr>
                <w:sz w:val="17"/>
                <w:szCs w:val="17"/>
              </w:rPr>
              <w:t xml:space="preserve">Within History this half term, the children will be exploring some of the key discoveries and developments made within Britain, linked into the study of astronomy and space exploration. </w:t>
            </w:r>
            <w:r w:rsidR="0021749F">
              <w:rPr>
                <w:sz w:val="17"/>
                <w:szCs w:val="17"/>
              </w:rPr>
              <w:t xml:space="preserve">The children will create a time line of these key events. </w:t>
            </w:r>
            <w:r>
              <w:rPr>
                <w:sz w:val="17"/>
                <w:szCs w:val="17"/>
              </w:rPr>
              <w:t>Later in the term</w:t>
            </w:r>
            <w:r w:rsidR="0021749F">
              <w:rPr>
                <w:sz w:val="17"/>
                <w:szCs w:val="17"/>
              </w:rPr>
              <w:t>,</w:t>
            </w:r>
            <w:r>
              <w:rPr>
                <w:sz w:val="17"/>
                <w:szCs w:val="17"/>
              </w:rPr>
              <w:t xml:space="preserve"> we will visit the Needles Battery and discover the significant role </w:t>
            </w:r>
            <w:r w:rsidR="0021749F">
              <w:rPr>
                <w:sz w:val="17"/>
                <w:szCs w:val="17"/>
              </w:rPr>
              <w:t xml:space="preserve">that </w:t>
            </w:r>
            <w:r>
              <w:rPr>
                <w:sz w:val="17"/>
                <w:szCs w:val="17"/>
              </w:rPr>
              <w:t>the Isle of Wight played in</w:t>
            </w:r>
            <w:r w:rsidR="0021749F">
              <w:rPr>
                <w:sz w:val="17"/>
                <w:szCs w:val="17"/>
              </w:rPr>
              <w:t xml:space="preserve"> rocket development and consequently,</w:t>
            </w:r>
            <w:r>
              <w:rPr>
                <w:sz w:val="17"/>
                <w:szCs w:val="17"/>
              </w:rPr>
              <w:t xml:space="preserve"> the race to the Moon.  </w:t>
            </w:r>
          </w:p>
          <w:p w:rsidR="00AE079A" w:rsidRPr="00855C3F" w:rsidRDefault="00A03AAB" w:rsidP="00C336A4">
            <w:pPr>
              <w:rPr>
                <w:sz w:val="17"/>
                <w:szCs w:val="17"/>
              </w:rPr>
            </w:pPr>
            <w:r>
              <w:rPr>
                <w:sz w:val="17"/>
                <w:szCs w:val="17"/>
              </w:rPr>
              <w:t xml:space="preserve">   </w:t>
            </w:r>
          </w:p>
        </w:tc>
      </w:tr>
      <w:tr w:rsidR="00977F7A" w:rsidTr="003E7632">
        <w:trPr>
          <w:trHeight w:val="1203"/>
        </w:trPr>
        <w:tc>
          <w:tcPr>
            <w:tcW w:w="4503" w:type="dxa"/>
            <w:gridSpan w:val="2"/>
            <w:vMerge/>
            <w:tcBorders>
              <w:bottom w:val="single" w:sz="4" w:space="0" w:color="auto"/>
            </w:tcBorders>
          </w:tcPr>
          <w:p w:rsidR="00977F7A" w:rsidRDefault="00977F7A">
            <w:pPr>
              <w:rPr>
                <w:sz w:val="22"/>
              </w:rPr>
            </w:pPr>
          </w:p>
        </w:tc>
        <w:tc>
          <w:tcPr>
            <w:tcW w:w="6804" w:type="dxa"/>
            <w:gridSpan w:val="4"/>
            <w:tcBorders>
              <w:bottom w:val="single" w:sz="4" w:space="0" w:color="auto"/>
            </w:tcBorders>
            <w:vAlign w:val="center"/>
          </w:tcPr>
          <w:p w:rsidR="00A528D9" w:rsidRDefault="00A528D9" w:rsidP="00716665">
            <w:pPr>
              <w:jc w:val="center"/>
              <w:rPr>
                <w:rFonts w:cs="Arial"/>
                <w:b/>
                <w:color w:val="1F497D" w:themeColor="text2"/>
                <w:sz w:val="44"/>
              </w:rPr>
            </w:pPr>
            <w:r>
              <w:rPr>
                <w:noProof/>
                <w:lang w:val="en-GB" w:eastAsia="en-GB"/>
              </w:rPr>
              <w:drawing>
                <wp:anchor distT="0" distB="0" distL="114300" distR="114300" simplePos="0" relativeHeight="251661312" behindDoc="1" locked="0" layoutInCell="1" allowOverlap="1" wp14:anchorId="02583725" wp14:editId="0D4833C7">
                  <wp:simplePos x="0" y="0"/>
                  <wp:positionH relativeFrom="column">
                    <wp:posOffset>1547495</wp:posOffset>
                  </wp:positionH>
                  <wp:positionV relativeFrom="paragraph">
                    <wp:posOffset>405130</wp:posOffset>
                  </wp:positionV>
                  <wp:extent cx="952500" cy="571500"/>
                  <wp:effectExtent l="0" t="0" r="0" b="0"/>
                  <wp:wrapTight wrapText="bothSides">
                    <wp:wrapPolygon edited="0">
                      <wp:start x="0" y="0"/>
                      <wp:lineTo x="0" y="20880"/>
                      <wp:lineTo x="21168" y="20880"/>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4000"/>
                          <a:stretch/>
                        </pic:blipFill>
                        <pic:spPr bwMode="auto">
                          <a:xfrm>
                            <a:off x="0" y="0"/>
                            <a:ext cx="95250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BC5" w:rsidRPr="001132CF">
              <w:rPr>
                <w:rFonts w:cs="Arial"/>
                <w:b/>
                <w:color w:val="FF0000"/>
                <w:sz w:val="44"/>
              </w:rPr>
              <w:t xml:space="preserve"> </w:t>
            </w:r>
            <w:r w:rsidR="00B15023" w:rsidRPr="001132CF">
              <w:rPr>
                <w:rFonts w:cs="Arial"/>
                <w:b/>
                <w:color w:val="FF0000"/>
                <w:sz w:val="44"/>
              </w:rPr>
              <w:t>‘</w:t>
            </w:r>
            <w:r w:rsidR="00716665">
              <w:rPr>
                <w:rFonts w:cs="Arial"/>
                <w:b/>
                <w:color w:val="FF0000"/>
                <w:sz w:val="44"/>
              </w:rPr>
              <w:t>To infinity and beyond!</w:t>
            </w:r>
            <w:r w:rsidR="00C336A4">
              <w:rPr>
                <w:rFonts w:cs="Arial"/>
                <w:b/>
                <w:color w:val="FF0000"/>
                <w:sz w:val="44"/>
              </w:rPr>
              <w:t>’</w:t>
            </w:r>
          </w:p>
          <w:p w:rsidR="00A528D9" w:rsidRPr="00A528D9" w:rsidRDefault="00A528D9" w:rsidP="00A528D9">
            <w:pPr>
              <w:rPr>
                <w:rFonts w:cs="Arial"/>
                <w:sz w:val="44"/>
              </w:rPr>
            </w:pPr>
          </w:p>
          <w:p w:rsidR="00A528D9" w:rsidRPr="00A528D9" w:rsidRDefault="00A528D9" w:rsidP="00A528D9">
            <w:pPr>
              <w:rPr>
                <w:rFonts w:cs="Arial"/>
                <w:sz w:val="44"/>
              </w:rPr>
            </w:pPr>
          </w:p>
          <w:p w:rsidR="00977F7A" w:rsidRPr="00A528D9" w:rsidRDefault="00977F7A" w:rsidP="00A528D9">
            <w:pPr>
              <w:rPr>
                <w:rFonts w:cs="Arial"/>
                <w:sz w:val="12"/>
              </w:rPr>
            </w:pPr>
          </w:p>
        </w:tc>
        <w:tc>
          <w:tcPr>
            <w:tcW w:w="4515" w:type="dxa"/>
            <w:vMerge/>
            <w:tcBorders>
              <w:bottom w:val="single" w:sz="4" w:space="0" w:color="auto"/>
            </w:tcBorders>
          </w:tcPr>
          <w:p w:rsidR="00977F7A" w:rsidRPr="00DC7014" w:rsidRDefault="00977F7A">
            <w:pPr>
              <w:rPr>
                <w:sz w:val="22"/>
                <w:highlight w:val="yellow"/>
              </w:rPr>
            </w:pPr>
          </w:p>
        </w:tc>
      </w:tr>
      <w:tr w:rsidR="00F76921" w:rsidTr="00D45CA2">
        <w:trPr>
          <w:trHeight w:val="571"/>
        </w:trPr>
        <w:tc>
          <w:tcPr>
            <w:tcW w:w="2235" w:type="dxa"/>
            <w:shd w:val="clear" w:color="auto" w:fill="E5DFEC" w:themeFill="accent4" w:themeFillTint="33"/>
            <w:vAlign w:val="center"/>
          </w:tcPr>
          <w:p w:rsidR="00F76921" w:rsidRPr="00DC7014" w:rsidRDefault="00F76921">
            <w:pPr>
              <w:jc w:val="center"/>
              <w:rPr>
                <w:b/>
              </w:rPr>
            </w:pPr>
            <w:r w:rsidRPr="00366BA8">
              <w:rPr>
                <w:b/>
                <w:sz w:val="28"/>
              </w:rPr>
              <w:t>RE</w:t>
            </w:r>
          </w:p>
        </w:tc>
        <w:tc>
          <w:tcPr>
            <w:tcW w:w="2268" w:type="dxa"/>
            <w:shd w:val="clear" w:color="auto" w:fill="E5DFEC" w:themeFill="accent4" w:themeFillTint="33"/>
            <w:vAlign w:val="center"/>
          </w:tcPr>
          <w:p w:rsidR="00F76921" w:rsidRPr="00DC7014" w:rsidRDefault="00F76921">
            <w:pPr>
              <w:jc w:val="center"/>
              <w:rPr>
                <w:b/>
              </w:rPr>
            </w:pPr>
            <w:r w:rsidRPr="00366BA8">
              <w:rPr>
                <w:b/>
                <w:sz w:val="28"/>
              </w:rPr>
              <w:t>PSHE</w:t>
            </w:r>
          </w:p>
        </w:tc>
        <w:tc>
          <w:tcPr>
            <w:tcW w:w="2268" w:type="dxa"/>
            <w:shd w:val="clear" w:color="auto" w:fill="E5DFEC" w:themeFill="accent4" w:themeFillTint="33"/>
            <w:vAlign w:val="center"/>
          </w:tcPr>
          <w:p w:rsidR="00F76921" w:rsidRPr="00DC7014" w:rsidRDefault="00F76921">
            <w:pPr>
              <w:jc w:val="center"/>
              <w:rPr>
                <w:b/>
                <w:color w:val="FF0000"/>
                <w:sz w:val="28"/>
                <w:highlight w:val="yellow"/>
              </w:rPr>
            </w:pPr>
            <w:r w:rsidRPr="00574DBE">
              <w:rPr>
                <w:b/>
                <w:sz w:val="28"/>
              </w:rPr>
              <w:t xml:space="preserve">French </w:t>
            </w:r>
          </w:p>
        </w:tc>
        <w:tc>
          <w:tcPr>
            <w:tcW w:w="3118" w:type="dxa"/>
            <w:gridSpan w:val="2"/>
            <w:shd w:val="clear" w:color="auto" w:fill="E5DFEC" w:themeFill="accent4" w:themeFillTint="33"/>
            <w:vAlign w:val="center"/>
          </w:tcPr>
          <w:p w:rsidR="00F76921" w:rsidRPr="00DC7014" w:rsidRDefault="00F76921">
            <w:pPr>
              <w:jc w:val="center"/>
              <w:rPr>
                <w:b/>
                <w:color w:val="FF0000"/>
                <w:sz w:val="28"/>
                <w:highlight w:val="yellow"/>
              </w:rPr>
            </w:pPr>
            <w:r>
              <w:rPr>
                <w:b/>
                <w:sz w:val="28"/>
              </w:rPr>
              <w:t xml:space="preserve">Art </w:t>
            </w:r>
          </w:p>
        </w:tc>
        <w:tc>
          <w:tcPr>
            <w:tcW w:w="1418" w:type="dxa"/>
            <w:shd w:val="clear" w:color="auto" w:fill="E5DFEC" w:themeFill="accent4" w:themeFillTint="33"/>
            <w:vAlign w:val="center"/>
          </w:tcPr>
          <w:p w:rsidR="00F76921" w:rsidRPr="00105BAA" w:rsidRDefault="00F76921">
            <w:pPr>
              <w:jc w:val="center"/>
              <w:rPr>
                <w:b/>
                <w:sz w:val="28"/>
              </w:rPr>
            </w:pPr>
            <w:r w:rsidRPr="00105BAA">
              <w:rPr>
                <w:b/>
                <w:sz w:val="28"/>
              </w:rPr>
              <w:t>PE</w:t>
            </w:r>
          </w:p>
        </w:tc>
        <w:tc>
          <w:tcPr>
            <w:tcW w:w="4515" w:type="dxa"/>
            <w:shd w:val="clear" w:color="auto" w:fill="E5DFEC" w:themeFill="accent4" w:themeFillTint="33"/>
            <w:vAlign w:val="center"/>
          </w:tcPr>
          <w:p w:rsidR="00F76921" w:rsidRPr="00574DBE" w:rsidRDefault="00F76921">
            <w:pPr>
              <w:jc w:val="center"/>
              <w:rPr>
                <w:b/>
                <w:color w:val="FF0000"/>
                <w:sz w:val="28"/>
              </w:rPr>
            </w:pPr>
            <w:r w:rsidRPr="007A2315">
              <w:rPr>
                <w:b/>
                <w:sz w:val="28"/>
              </w:rPr>
              <w:t>DT</w:t>
            </w:r>
          </w:p>
        </w:tc>
      </w:tr>
      <w:tr w:rsidR="00F76921" w:rsidTr="00BA5972">
        <w:trPr>
          <w:trHeight w:val="1685"/>
        </w:trPr>
        <w:tc>
          <w:tcPr>
            <w:tcW w:w="2235" w:type="dxa"/>
          </w:tcPr>
          <w:p w:rsidR="00F76921" w:rsidRPr="00DC7014" w:rsidRDefault="00F76921" w:rsidP="00C336A4">
            <w:pPr>
              <w:rPr>
                <w:sz w:val="18"/>
                <w:szCs w:val="18"/>
              </w:rPr>
            </w:pPr>
            <w:r w:rsidRPr="00DC7014">
              <w:rPr>
                <w:sz w:val="18"/>
                <w:szCs w:val="18"/>
              </w:rPr>
              <w:t xml:space="preserve">In Religious Studies this half term, we will be </w:t>
            </w:r>
            <w:r>
              <w:rPr>
                <w:sz w:val="18"/>
                <w:szCs w:val="18"/>
              </w:rPr>
              <w:t xml:space="preserve">exploring Islam and the five pillars in depth. We will also make links between Islam and Christianity. </w:t>
            </w:r>
          </w:p>
        </w:tc>
        <w:tc>
          <w:tcPr>
            <w:tcW w:w="2268" w:type="dxa"/>
          </w:tcPr>
          <w:p w:rsidR="00F76921" w:rsidRPr="00574DBE" w:rsidRDefault="00F76921" w:rsidP="00C336A4">
            <w:pPr>
              <w:rPr>
                <w:sz w:val="18"/>
                <w:szCs w:val="18"/>
              </w:rPr>
            </w:pPr>
            <w:r w:rsidRPr="00574DBE">
              <w:rPr>
                <w:sz w:val="18"/>
                <w:szCs w:val="18"/>
              </w:rPr>
              <w:t xml:space="preserve">In PSHE this half term, we will be </w:t>
            </w:r>
            <w:r>
              <w:rPr>
                <w:sz w:val="18"/>
                <w:szCs w:val="18"/>
              </w:rPr>
              <w:t xml:space="preserve">exploring relationships. We will look at the types of relationships we have with people, what relationships mean to us and how to deal with different types of relationships. </w:t>
            </w:r>
          </w:p>
        </w:tc>
        <w:tc>
          <w:tcPr>
            <w:tcW w:w="2268" w:type="dxa"/>
          </w:tcPr>
          <w:p w:rsidR="00F76921" w:rsidRPr="00574DBE" w:rsidRDefault="00F76921" w:rsidP="006D2492">
            <w:pPr>
              <w:rPr>
                <w:color w:val="FF0000"/>
                <w:sz w:val="18"/>
                <w:szCs w:val="18"/>
              </w:rPr>
            </w:pPr>
            <w:r w:rsidRPr="00574DBE">
              <w:rPr>
                <w:sz w:val="18"/>
                <w:szCs w:val="18"/>
              </w:rPr>
              <w:t xml:space="preserve"> </w:t>
            </w:r>
            <w:r w:rsidRPr="00574DBE">
              <w:rPr>
                <w:color w:val="000000" w:themeColor="text1"/>
                <w:sz w:val="17"/>
                <w:szCs w:val="17"/>
              </w:rPr>
              <w:t xml:space="preserve">We will be learning </w:t>
            </w:r>
            <w:r>
              <w:rPr>
                <w:color w:val="000000" w:themeColor="text1"/>
                <w:sz w:val="17"/>
                <w:szCs w:val="17"/>
              </w:rPr>
              <w:t xml:space="preserve">about names for people in our family, the months of the year and numbers up to 30. We will be creating our own party invitations combining the days, numbers and months and will also create a family drawing with labels.  </w:t>
            </w:r>
          </w:p>
        </w:tc>
        <w:tc>
          <w:tcPr>
            <w:tcW w:w="3118" w:type="dxa"/>
            <w:gridSpan w:val="2"/>
          </w:tcPr>
          <w:p w:rsidR="00F76921" w:rsidRPr="00DC7014" w:rsidRDefault="00F76921" w:rsidP="00C336A4">
            <w:pPr>
              <w:rPr>
                <w:color w:val="FF0000"/>
                <w:sz w:val="18"/>
                <w:szCs w:val="18"/>
                <w:highlight w:val="yellow"/>
              </w:rPr>
            </w:pPr>
            <w:r w:rsidRPr="00C05F84">
              <w:rPr>
                <w:sz w:val="18"/>
                <w:szCs w:val="18"/>
              </w:rPr>
              <w:t>Over the half term, the children will be</w:t>
            </w:r>
            <w:r>
              <w:rPr>
                <w:sz w:val="18"/>
                <w:szCs w:val="18"/>
              </w:rPr>
              <w:t xml:space="preserve"> exploring Van Gogh’s ‘A starry night’ and imitating the artists work. We will also create a space themed background using defusing and marbling techniques. The children will also create their own alien in the style of a pop art artist, to go on top of their space themed background. </w:t>
            </w:r>
          </w:p>
        </w:tc>
        <w:tc>
          <w:tcPr>
            <w:tcW w:w="1418" w:type="dxa"/>
          </w:tcPr>
          <w:p w:rsidR="00F76921" w:rsidRPr="00CE0C51" w:rsidRDefault="00F76921" w:rsidP="00CD4F03">
            <w:pPr>
              <w:rPr>
                <w:sz w:val="18"/>
                <w:szCs w:val="18"/>
                <w:u w:val="single"/>
              </w:rPr>
            </w:pPr>
            <w:r w:rsidRPr="00CE0C51">
              <w:rPr>
                <w:sz w:val="18"/>
                <w:szCs w:val="18"/>
              </w:rPr>
              <w:t xml:space="preserve">The children will be working with the sports coach, taking part in a variety of sports over the year. </w:t>
            </w:r>
          </w:p>
          <w:p w:rsidR="00F76921" w:rsidRPr="00CE0C51" w:rsidRDefault="00F76921" w:rsidP="00CD4F03">
            <w:pPr>
              <w:rPr>
                <w:sz w:val="18"/>
                <w:szCs w:val="18"/>
              </w:rPr>
            </w:pPr>
          </w:p>
          <w:p w:rsidR="00F76921" w:rsidRPr="00CE0C51" w:rsidRDefault="00F76921" w:rsidP="00CD4F03">
            <w:pPr>
              <w:rPr>
                <w:sz w:val="18"/>
                <w:szCs w:val="18"/>
              </w:rPr>
            </w:pPr>
          </w:p>
        </w:tc>
        <w:tc>
          <w:tcPr>
            <w:tcW w:w="4515" w:type="dxa"/>
          </w:tcPr>
          <w:p w:rsidR="00F76921" w:rsidRPr="00574DBE" w:rsidRDefault="00F76921" w:rsidP="007A4283">
            <w:pPr>
              <w:rPr>
                <w:color w:val="FF0000"/>
                <w:sz w:val="18"/>
                <w:szCs w:val="18"/>
              </w:rPr>
            </w:pPr>
            <w:r>
              <w:rPr>
                <w:sz w:val="18"/>
                <w:szCs w:val="18"/>
              </w:rPr>
              <w:t xml:space="preserve">Within DT this term the children will be working through the design process (design, make and evaluate) to create a moving Mars Rover. The children will acquire the technical skills of how to shape, strengthen and join materials, which will enable them to create their final outcome.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87704A"/>
    <w:multiLevelType w:val="multilevel"/>
    <w:tmpl w:val="14E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0"/>
  </w:num>
  <w:num w:numId="6">
    <w:abstractNumId w:val="5"/>
  </w:num>
  <w:num w:numId="7">
    <w:abstractNumId w:val="1"/>
  </w:num>
  <w:num w:numId="8">
    <w:abstractNumId w:val="7"/>
  </w:num>
  <w:num w:numId="9">
    <w:abstractNumId w:val="3"/>
  </w:num>
  <w:num w:numId="10">
    <w:abstractNumId w:val="4"/>
  </w:num>
  <w:num w:numId="11">
    <w:abstractNumId w:val="13"/>
  </w:num>
  <w:num w:numId="12">
    <w:abstractNumId w:val="12"/>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824A6"/>
    <w:rsid w:val="00085F74"/>
    <w:rsid w:val="000A3C93"/>
    <w:rsid w:val="000C2336"/>
    <w:rsid w:val="000C639F"/>
    <w:rsid w:val="000F47BB"/>
    <w:rsid w:val="0010563D"/>
    <w:rsid w:val="00105BAA"/>
    <w:rsid w:val="001132CF"/>
    <w:rsid w:val="0011566B"/>
    <w:rsid w:val="001217E7"/>
    <w:rsid w:val="00132A32"/>
    <w:rsid w:val="001360E5"/>
    <w:rsid w:val="00136E64"/>
    <w:rsid w:val="001412D3"/>
    <w:rsid w:val="00151BC5"/>
    <w:rsid w:val="00171059"/>
    <w:rsid w:val="00195FA2"/>
    <w:rsid w:val="001B3D81"/>
    <w:rsid w:val="001B5187"/>
    <w:rsid w:val="001C3062"/>
    <w:rsid w:val="001D43E8"/>
    <w:rsid w:val="001F7898"/>
    <w:rsid w:val="002163ED"/>
    <w:rsid w:val="0021749F"/>
    <w:rsid w:val="002309F9"/>
    <w:rsid w:val="00252DDE"/>
    <w:rsid w:val="0026188A"/>
    <w:rsid w:val="00282E01"/>
    <w:rsid w:val="00294D8D"/>
    <w:rsid w:val="002B2D99"/>
    <w:rsid w:val="00343E2C"/>
    <w:rsid w:val="00344E8B"/>
    <w:rsid w:val="00366BA8"/>
    <w:rsid w:val="00366DB4"/>
    <w:rsid w:val="0037504D"/>
    <w:rsid w:val="003E6A82"/>
    <w:rsid w:val="003E7632"/>
    <w:rsid w:val="00425A17"/>
    <w:rsid w:val="00436F1B"/>
    <w:rsid w:val="0045067E"/>
    <w:rsid w:val="004D155F"/>
    <w:rsid w:val="004E0B86"/>
    <w:rsid w:val="004E794C"/>
    <w:rsid w:val="00505E61"/>
    <w:rsid w:val="00521AE2"/>
    <w:rsid w:val="00530DC9"/>
    <w:rsid w:val="00574DBE"/>
    <w:rsid w:val="0058770E"/>
    <w:rsid w:val="00594731"/>
    <w:rsid w:val="005E2044"/>
    <w:rsid w:val="005E2C06"/>
    <w:rsid w:val="006403AE"/>
    <w:rsid w:val="006540BF"/>
    <w:rsid w:val="00655713"/>
    <w:rsid w:val="00664079"/>
    <w:rsid w:val="0067091F"/>
    <w:rsid w:val="006761C5"/>
    <w:rsid w:val="006855C4"/>
    <w:rsid w:val="006904B1"/>
    <w:rsid w:val="006B7623"/>
    <w:rsid w:val="006B77D3"/>
    <w:rsid w:val="006D2492"/>
    <w:rsid w:val="006D7979"/>
    <w:rsid w:val="006E1533"/>
    <w:rsid w:val="006E34BB"/>
    <w:rsid w:val="007064E6"/>
    <w:rsid w:val="00707744"/>
    <w:rsid w:val="00716665"/>
    <w:rsid w:val="00725663"/>
    <w:rsid w:val="00740DEB"/>
    <w:rsid w:val="00744C82"/>
    <w:rsid w:val="00752DC8"/>
    <w:rsid w:val="0077135F"/>
    <w:rsid w:val="007716EA"/>
    <w:rsid w:val="0078476B"/>
    <w:rsid w:val="00793642"/>
    <w:rsid w:val="007A2315"/>
    <w:rsid w:val="007A4283"/>
    <w:rsid w:val="007C6CAE"/>
    <w:rsid w:val="00836486"/>
    <w:rsid w:val="00855C3F"/>
    <w:rsid w:val="008678B5"/>
    <w:rsid w:val="00875953"/>
    <w:rsid w:val="008848F2"/>
    <w:rsid w:val="008920D8"/>
    <w:rsid w:val="0089275F"/>
    <w:rsid w:val="008D45C9"/>
    <w:rsid w:val="008D7FCD"/>
    <w:rsid w:val="008E3A76"/>
    <w:rsid w:val="00977F7A"/>
    <w:rsid w:val="0098073C"/>
    <w:rsid w:val="00981C51"/>
    <w:rsid w:val="009E675C"/>
    <w:rsid w:val="009F1660"/>
    <w:rsid w:val="009F4060"/>
    <w:rsid w:val="00A03AAB"/>
    <w:rsid w:val="00A32D24"/>
    <w:rsid w:val="00A33720"/>
    <w:rsid w:val="00A342CC"/>
    <w:rsid w:val="00A34BC5"/>
    <w:rsid w:val="00A376B9"/>
    <w:rsid w:val="00A528D9"/>
    <w:rsid w:val="00A828E5"/>
    <w:rsid w:val="00A95AFB"/>
    <w:rsid w:val="00A97C75"/>
    <w:rsid w:val="00AE079A"/>
    <w:rsid w:val="00AF1D26"/>
    <w:rsid w:val="00B030FF"/>
    <w:rsid w:val="00B05FCC"/>
    <w:rsid w:val="00B15023"/>
    <w:rsid w:val="00B154F2"/>
    <w:rsid w:val="00B17D51"/>
    <w:rsid w:val="00B41E1C"/>
    <w:rsid w:val="00B83488"/>
    <w:rsid w:val="00BA1923"/>
    <w:rsid w:val="00BD546F"/>
    <w:rsid w:val="00BE1738"/>
    <w:rsid w:val="00BE53B7"/>
    <w:rsid w:val="00C22D84"/>
    <w:rsid w:val="00C336A4"/>
    <w:rsid w:val="00C44102"/>
    <w:rsid w:val="00C528CC"/>
    <w:rsid w:val="00C729A7"/>
    <w:rsid w:val="00C812CA"/>
    <w:rsid w:val="00C96365"/>
    <w:rsid w:val="00CA72F3"/>
    <w:rsid w:val="00CB3EDD"/>
    <w:rsid w:val="00CC12B7"/>
    <w:rsid w:val="00CD4F03"/>
    <w:rsid w:val="00CE0C51"/>
    <w:rsid w:val="00CF3B86"/>
    <w:rsid w:val="00D01328"/>
    <w:rsid w:val="00D86599"/>
    <w:rsid w:val="00DA5BE7"/>
    <w:rsid w:val="00DC6CAD"/>
    <w:rsid w:val="00DC7014"/>
    <w:rsid w:val="00DE14D2"/>
    <w:rsid w:val="00E44BC1"/>
    <w:rsid w:val="00E47C14"/>
    <w:rsid w:val="00E72F19"/>
    <w:rsid w:val="00E8088A"/>
    <w:rsid w:val="00ED598E"/>
    <w:rsid w:val="00EF3ACE"/>
    <w:rsid w:val="00F013B8"/>
    <w:rsid w:val="00F032B8"/>
    <w:rsid w:val="00F52727"/>
    <w:rsid w:val="00F62D75"/>
    <w:rsid w:val="00F6736B"/>
    <w:rsid w:val="00F76921"/>
    <w:rsid w:val="00F910C1"/>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504445961">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3303-A5DD-4FE5-9498-650D0523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Jan Munt</cp:lastModifiedBy>
  <cp:revision>2</cp:revision>
  <cp:lastPrinted>2017-09-03T11:05:00Z</cp:lastPrinted>
  <dcterms:created xsi:type="dcterms:W3CDTF">2018-01-19T08:01:00Z</dcterms:created>
  <dcterms:modified xsi:type="dcterms:W3CDTF">2018-01-19T08:01:00Z</dcterms:modified>
</cp:coreProperties>
</file>