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822" w:type="dxa"/>
        <w:tblLook w:val="04A0" w:firstRow="1" w:lastRow="0" w:firstColumn="1" w:lastColumn="0" w:noHBand="0" w:noVBand="1"/>
      </w:tblPr>
      <w:tblGrid>
        <w:gridCol w:w="2235"/>
        <w:gridCol w:w="2268"/>
        <w:gridCol w:w="2268"/>
        <w:gridCol w:w="377"/>
        <w:gridCol w:w="2741"/>
        <w:gridCol w:w="1418"/>
        <w:gridCol w:w="2976"/>
        <w:gridCol w:w="1539"/>
      </w:tblGrid>
      <w:tr w:rsidR="00977F7A" w:rsidTr="00366BA8">
        <w:trPr>
          <w:trHeight w:val="551"/>
        </w:trPr>
        <w:tc>
          <w:tcPr>
            <w:tcW w:w="7148" w:type="dxa"/>
            <w:gridSpan w:val="4"/>
            <w:shd w:val="clear" w:color="auto" w:fill="E5DFEC" w:themeFill="accent4" w:themeFillTint="33"/>
            <w:vAlign w:val="center"/>
          </w:tcPr>
          <w:p w:rsidR="00977F7A" w:rsidRPr="00C336A4" w:rsidRDefault="00282E01">
            <w:pPr>
              <w:jc w:val="center"/>
              <w:rPr>
                <w:b/>
                <w:color w:val="FF0000"/>
                <w:sz w:val="28"/>
              </w:rPr>
            </w:pPr>
            <w:r w:rsidRPr="00C336A4">
              <w:rPr>
                <w:b/>
                <w:sz w:val="28"/>
              </w:rPr>
              <w:t>Literacy</w:t>
            </w:r>
          </w:p>
        </w:tc>
        <w:tc>
          <w:tcPr>
            <w:tcW w:w="8674" w:type="dxa"/>
            <w:gridSpan w:val="4"/>
            <w:shd w:val="clear" w:color="auto" w:fill="E5DFEC" w:themeFill="accent4" w:themeFillTint="33"/>
            <w:vAlign w:val="center"/>
          </w:tcPr>
          <w:p w:rsidR="00977F7A" w:rsidRPr="007C6CAE" w:rsidRDefault="00282E01">
            <w:pPr>
              <w:jc w:val="center"/>
              <w:rPr>
                <w:b/>
                <w:color w:val="FF0000"/>
                <w:sz w:val="28"/>
              </w:rPr>
            </w:pPr>
            <w:r w:rsidRPr="007C6CAE">
              <w:rPr>
                <w:b/>
                <w:sz w:val="28"/>
              </w:rPr>
              <w:t>Numeracy</w:t>
            </w:r>
          </w:p>
        </w:tc>
      </w:tr>
      <w:tr w:rsidR="00977F7A" w:rsidTr="00366BA8">
        <w:trPr>
          <w:trHeight w:val="3974"/>
        </w:trPr>
        <w:tc>
          <w:tcPr>
            <w:tcW w:w="7148" w:type="dxa"/>
            <w:gridSpan w:val="4"/>
            <w:tcBorders>
              <w:bottom w:val="single" w:sz="4" w:space="0" w:color="auto"/>
            </w:tcBorders>
          </w:tcPr>
          <w:p w:rsidR="00B15023" w:rsidRPr="00C336A4" w:rsidRDefault="00B15023">
            <w:pPr>
              <w:rPr>
                <w:b/>
                <w:sz w:val="18"/>
                <w:szCs w:val="17"/>
              </w:rPr>
            </w:pPr>
            <w:r w:rsidRPr="00C336A4">
              <w:rPr>
                <w:b/>
                <w:sz w:val="18"/>
                <w:szCs w:val="17"/>
              </w:rPr>
              <w:t>In literacy, this h</w:t>
            </w:r>
            <w:r w:rsidR="0010563D" w:rsidRPr="00C336A4">
              <w:rPr>
                <w:b/>
                <w:sz w:val="18"/>
                <w:szCs w:val="17"/>
              </w:rPr>
              <w:t xml:space="preserve">alf term, we will be looking at: </w:t>
            </w:r>
          </w:p>
          <w:p w:rsidR="0010563D" w:rsidRPr="00C336A4" w:rsidRDefault="0010563D">
            <w:pPr>
              <w:rPr>
                <w:b/>
                <w:sz w:val="18"/>
                <w:szCs w:val="17"/>
              </w:rPr>
            </w:pPr>
          </w:p>
          <w:p w:rsidR="00670121" w:rsidRDefault="00716665" w:rsidP="00716665">
            <w:pPr>
              <w:rPr>
                <w:sz w:val="18"/>
                <w:szCs w:val="17"/>
              </w:rPr>
            </w:pPr>
            <w:r>
              <w:rPr>
                <w:b/>
                <w:sz w:val="18"/>
                <w:szCs w:val="17"/>
              </w:rPr>
              <w:t>Narrative</w:t>
            </w:r>
            <w:r w:rsidR="00C336A4" w:rsidRPr="00C336A4">
              <w:rPr>
                <w:b/>
                <w:sz w:val="18"/>
                <w:szCs w:val="17"/>
              </w:rPr>
              <w:t>:</w:t>
            </w:r>
            <w:r>
              <w:rPr>
                <w:b/>
                <w:sz w:val="18"/>
                <w:szCs w:val="17"/>
              </w:rPr>
              <w:t xml:space="preserve"> </w:t>
            </w:r>
            <w:r w:rsidR="00DA5BE7" w:rsidRPr="00DA5BE7">
              <w:rPr>
                <w:sz w:val="18"/>
                <w:szCs w:val="17"/>
              </w:rPr>
              <w:t>On our literacy narrative learning journey w</w:t>
            </w:r>
            <w:r w:rsidRPr="00DA5BE7">
              <w:rPr>
                <w:sz w:val="18"/>
                <w:szCs w:val="17"/>
              </w:rPr>
              <w:t>e</w:t>
            </w:r>
            <w:r>
              <w:rPr>
                <w:sz w:val="18"/>
                <w:szCs w:val="17"/>
              </w:rPr>
              <w:t xml:space="preserve"> will </w:t>
            </w:r>
            <w:r w:rsidR="00DA5BE7">
              <w:rPr>
                <w:sz w:val="18"/>
                <w:szCs w:val="17"/>
              </w:rPr>
              <w:t xml:space="preserve">be creating character and setting descriptions. We will create a space themed narrative with creatures or aliens landing on Earth. </w:t>
            </w:r>
          </w:p>
          <w:p w:rsidR="00670121" w:rsidRDefault="00670121" w:rsidP="00716665">
            <w:pPr>
              <w:rPr>
                <w:sz w:val="18"/>
                <w:szCs w:val="17"/>
              </w:rPr>
            </w:pPr>
          </w:p>
          <w:p w:rsidR="00C336A4" w:rsidRPr="00C336A4" w:rsidRDefault="00670121" w:rsidP="00716665">
            <w:pPr>
              <w:rPr>
                <w:sz w:val="18"/>
                <w:szCs w:val="17"/>
              </w:rPr>
            </w:pPr>
            <w:r w:rsidRPr="00670121">
              <w:rPr>
                <w:b/>
                <w:sz w:val="18"/>
                <w:szCs w:val="17"/>
              </w:rPr>
              <w:t>Recount:</w:t>
            </w:r>
            <w:r>
              <w:rPr>
                <w:sz w:val="18"/>
                <w:szCs w:val="17"/>
              </w:rPr>
              <w:t xml:space="preserve"> </w:t>
            </w:r>
            <w:r w:rsidR="00DA5BE7">
              <w:rPr>
                <w:sz w:val="18"/>
                <w:szCs w:val="17"/>
              </w:rPr>
              <w:t xml:space="preserve">We will also be creating diary entries based on these peculiar events that the characters are facing. </w:t>
            </w:r>
            <w:bookmarkStart w:id="0" w:name="_GoBack"/>
            <w:bookmarkEnd w:id="0"/>
          </w:p>
          <w:p w:rsidR="00CF3B86" w:rsidRPr="00C336A4" w:rsidRDefault="00C336A4">
            <w:pPr>
              <w:rPr>
                <w:sz w:val="18"/>
                <w:szCs w:val="17"/>
              </w:rPr>
            </w:pPr>
            <w:r w:rsidRPr="00C336A4">
              <w:rPr>
                <w:sz w:val="18"/>
                <w:szCs w:val="17"/>
              </w:rPr>
              <w:t xml:space="preserve"> </w:t>
            </w:r>
          </w:p>
          <w:p w:rsidR="00875953" w:rsidRPr="00C336A4" w:rsidRDefault="00875953" w:rsidP="00085F74">
            <w:pPr>
              <w:rPr>
                <w:b/>
                <w:sz w:val="18"/>
                <w:szCs w:val="17"/>
                <w:u w:val="single"/>
              </w:rPr>
            </w:pPr>
            <w:r w:rsidRPr="00C336A4">
              <w:rPr>
                <w:b/>
                <w:sz w:val="18"/>
                <w:szCs w:val="17"/>
                <w:u w:val="single"/>
              </w:rPr>
              <w:t>SPAG</w:t>
            </w:r>
          </w:p>
          <w:p w:rsidR="00C528CC" w:rsidRDefault="004E0B86" w:rsidP="00C528CC">
            <w:pPr>
              <w:rPr>
                <w:sz w:val="17"/>
                <w:szCs w:val="17"/>
              </w:rPr>
            </w:pPr>
            <w:r w:rsidRPr="00C336A4">
              <w:rPr>
                <w:sz w:val="17"/>
                <w:szCs w:val="17"/>
              </w:rPr>
              <w:t xml:space="preserve">During the chidlren’s literacy lessons Spelling, Punctuation and Grammar is interweaved </w:t>
            </w:r>
            <w:r w:rsidRPr="005E2044">
              <w:rPr>
                <w:sz w:val="17"/>
                <w:szCs w:val="17"/>
              </w:rPr>
              <w:t xml:space="preserve">throughout. </w:t>
            </w:r>
            <w:r w:rsidR="00C528CC">
              <w:rPr>
                <w:sz w:val="17"/>
                <w:szCs w:val="17"/>
              </w:rPr>
              <w:t xml:space="preserve">Over this half term the children will be using fronted adverbials, using clear paragraphs and signaling openings and closings, they will be maintaining viewpoints and adding description and detail in their writing. This is alongside many of the SPaG techniques developed in the last term. </w:t>
            </w:r>
          </w:p>
          <w:p w:rsidR="006D2492" w:rsidRPr="00C336A4" w:rsidRDefault="00CF3B86" w:rsidP="00085F74">
            <w:pPr>
              <w:rPr>
                <w:sz w:val="17"/>
                <w:szCs w:val="17"/>
              </w:rPr>
            </w:pPr>
            <w:r w:rsidRPr="005E2044">
              <w:rPr>
                <w:sz w:val="17"/>
                <w:szCs w:val="17"/>
              </w:rPr>
              <w:t>We will also work on our joined-up handwriting.</w:t>
            </w:r>
          </w:p>
          <w:p w:rsidR="00875953" w:rsidRPr="00C336A4" w:rsidRDefault="00875953" w:rsidP="00875953">
            <w:pPr>
              <w:rPr>
                <w:sz w:val="17"/>
                <w:szCs w:val="17"/>
              </w:rPr>
            </w:pPr>
          </w:p>
          <w:p w:rsidR="00981C51" w:rsidRPr="00C336A4" w:rsidRDefault="00981C51" w:rsidP="00875953">
            <w:pPr>
              <w:rPr>
                <w:sz w:val="17"/>
                <w:szCs w:val="17"/>
              </w:rPr>
            </w:pPr>
          </w:p>
          <w:p w:rsidR="00CF3B86" w:rsidRPr="00C336A4" w:rsidRDefault="006E34BB" w:rsidP="00716665">
            <w:pPr>
              <w:rPr>
                <w:sz w:val="17"/>
                <w:szCs w:val="17"/>
              </w:rPr>
            </w:pPr>
            <w:r w:rsidRPr="00C336A4">
              <w:rPr>
                <w:sz w:val="17"/>
                <w:szCs w:val="17"/>
              </w:rPr>
              <w:t>In Guided R</w:t>
            </w:r>
            <w:r w:rsidR="00981C51" w:rsidRPr="00C336A4">
              <w:rPr>
                <w:sz w:val="17"/>
                <w:szCs w:val="17"/>
              </w:rPr>
              <w:t xml:space="preserve">eading and in our Literacy lessons we will be </w:t>
            </w:r>
            <w:r w:rsidR="00C336A4" w:rsidRPr="00C336A4">
              <w:rPr>
                <w:sz w:val="17"/>
                <w:szCs w:val="17"/>
              </w:rPr>
              <w:t xml:space="preserve">reading </w:t>
            </w:r>
            <w:r w:rsidR="00716665">
              <w:rPr>
                <w:sz w:val="17"/>
                <w:szCs w:val="17"/>
              </w:rPr>
              <w:t>Wat of the Worlds by H.G Wells</w:t>
            </w:r>
            <w:r w:rsidR="00C336A4" w:rsidRPr="00C336A4">
              <w:rPr>
                <w:sz w:val="17"/>
                <w:szCs w:val="17"/>
              </w:rPr>
              <w:t xml:space="preserve">. We are also looking at </w:t>
            </w:r>
            <w:r w:rsidR="00DA5BE7">
              <w:rPr>
                <w:sz w:val="17"/>
                <w:szCs w:val="17"/>
              </w:rPr>
              <w:t>non-fiction</w:t>
            </w:r>
            <w:r w:rsidR="00716665">
              <w:rPr>
                <w:sz w:val="17"/>
                <w:szCs w:val="17"/>
              </w:rPr>
              <w:t xml:space="preserve"> texts on Space. </w:t>
            </w:r>
          </w:p>
        </w:tc>
        <w:tc>
          <w:tcPr>
            <w:tcW w:w="8674" w:type="dxa"/>
            <w:gridSpan w:val="4"/>
            <w:shd w:val="clear" w:color="auto" w:fill="auto"/>
          </w:tcPr>
          <w:p w:rsidR="00A95AFB" w:rsidRPr="00DA5BE7" w:rsidRDefault="00A95AFB" w:rsidP="00A95AFB">
            <w:pPr>
              <w:rPr>
                <w:b/>
                <w:sz w:val="16"/>
                <w:szCs w:val="17"/>
              </w:rPr>
            </w:pPr>
            <w:r w:rsidRPr="00DA5BE7">
              <w:rPr>
                <w:b/>
                <w:sz w:val="16"/>
                <w:szCs w:val="17"/>
              </w:rPr>
              <w:t>In numeracy, this half term, we will be learning about:</w:t>
            </w:r>
          </w:p>
          <w:p w:rsidR="00A95AFB" w:rsidRPr="00DA5BE7" w:rsidRDefault="00A95AFB" w:rsidP="00A95AFB">
            <w:pPr>
              <w:rPr>
                <w:sz w:val="16"/>
                <w:szCs w:val="17"/>
              </w:rPr>
            </w:pPr>
          </w:p>
          <w:p w:rsidR="00A95AFB" w:rsidRPr="00DA5BE7" w:rsidRDefault="00A95AFB" w:rsidP="00A95AFB">
            <w:pPr>
              <w:rPr>
                <w:rFonts w:cs="Aharoni"/>
                <w:sz w:val="16"/>
                <w:szCs w:val="20"/>
              </w:rPr>
            </w:pPr>
            <w:r w:rsidRPr="00DA5BE7">
              <w:rPr>
                <w:b/>
                <w:sz w:val="16"/>
                <w:szCs w:val="18"/>
              </w:rPr>
              <w:t>Addition and Subtraction:</w:t>
            </w:r>
            <w:r w:rsidRPr="00DA5BE7">
              <w:rPr>
                <w:sz w:val="16"/>
                <w:szCs w:val="18"/>
              </w:rPr>
              <w:t xml:space="preserve"> </w:t>
            </w:r>
            <w:r w:rsidRPr="00DA5BE7">
              <w:rPr>
                <w:sz w:val="16"/>
                <w:szCs w:val="20"/>
              </w:rPr>
              <w:t>to</w:t>
            </w:r>
            <w:r w:rsidRPr="00DA5BE7">
              <w:rPr>
                <w:b/>
                <w:sz w:val="16"/>
                <w:szCs w:val="20"/>
              </w:rPr>
              <w:t xml:space="preserve"> </w:t>
            </w:r>
            <w:r w:rsidRPr="00DA5BE7">
              <w:rPr>
                <w:rFonts w:cs="Aharoni"/>
                <w:sz w:val="16"/>
                <w:szCs w:val="20"/>
              </w:rPr>
              <w:t>subtract numbers mentally, to use formal written methods with up to 4 digits, to estimate and use inverse operations to check answers to a calculation and to solve subtraction two-step problems in contexts, deciding which operations and methods to use and why.</w:t>
            </w:r>
          </w:p>
          <w:p w:rsidR="00A95AFB" w:rsidRPr="00DA5BE7" w:rsidRDefault="00A95AFB" w:rsidP="00A95AFB">
            <w:pPr>
              <w:rPr>
                <w:rFonts w:cs="Aharoni"/>
                <w:sz w:val="16"/>
                <w:szCs w:val="20"/>
              </w:rPr>
            </w:pPr>
          </w:p>
          <w:p w:rsidR="00A95AFB" w:rsidRPr="00DA5BE7" w:rsidRDefault="00A95AFB" w:rsidP="00A95AFB">
            <w:pPr>
              <w:rPr>
                <w:rFonts w:cs="Aharoni"/>
                <w:sz w:val="22"/>
              </w:rPr>
            </w:pPr>
            <w:r w:rsidRPr="00DA5BE7">
              <w:rPr>
                <w:b/>
                <w:sz w:val="16"/>
                <w:szCs w:val="18"/>
              </w:rPr>
              <w:t xml:space="preserve">Multiplication and Division: to </w:t>
            </w:r>
            <w:r w:rsidRPr="00DA5BE7">
              <w:rPr>
                <w:rFonts w:cs="Aharoni"/>
                <w:sz w:val="16"/>
                <w:szCs w:val="18"/>
              </w:rPr>
              <w:t>recall multiplication and division facts for the2, 3, 4, 5,6, 8 times table, to use place value, known and derived facts to multiply and divide mentally including multiplying by 0 and 1, to use mental and processing to multiply 2</w:t>
            </w:r>
            <w:r w:rsidR="00DA5BE7">
              <w:rPr>
                <w:rFonts w:cs="Aharoni"/>
                <w:sz w:val="16"/>
                <w:szCs w:val="18"/>
              </w:rPr>
              <w:t>-</w:t>
            </w:r>
            <w:r w:rsidRPr="00DA5BE7">
              <w:rPr>
                <w:rFonts w:cs="Aharoni"/>
                <w:sz w:val="16"/>
                <w:szCs w:val="18"/>
              </w:rPr>
              <w:t xml:space="preserve">digit and </w:t>
            </w:r>
            <w:r w:rsidR="00DA5BE7" w:rsidRPr="00DA5BE7">
              <w:rPr>
                <w:rFonts w:cs="Aharoni"/>
                <w:sz w:val="16"/>
                <w:szCs w:val="18"/>
              </w:rPr>
              <w:t>3-digit</w:t>
            </w:r>
            <w:r w:rsidRPr="00DA5BE7">
              <w:rPr>
                <w:rFonts w:cs="Aharoni"/>
                <w:sz w:val="16"/>
                <w:szCs w:val="18"/>
              </w:rPr>
              <w:t xml:space="preserve"> numbers by a one-digit numbers.</w:t>
            </w:r>
            <w:r w:rsidRPr="00DA5BE7">
              <w:rPr>
                <w:rFonts w:cs="Aharoni"/>
                <w:sz w:val="22"/>
              </w:rPr>
              <w:t xml:space="preserve"> </w:t>
            </w:r>
          </w:p>
          <w:p w:rsidR="00A95AFB" w:rsidRPr="00DA5BE7" w:rsidRDefault="00A95AFB" w:rsidP="00A95AFB">
            <w:pPr>
              <w:rPr>
                <w:b/>
                <w:sz w:val="16"/>
                <w:szCs w:val="17"/>
              </w:rPr>
            </w:pPr>
          </w:p>
          <w:p w:rsidR="00A95AFB" w:rsidRPr="00DA5BE7" w:rsidRDefault="00A95AFB" w:rsidP="00A95AFB">
            <w:pPr>
              <w:rPr>
                <w:rFonts w:cs="Aharoni"/>
                <w:sz w:val="22"/>
              </w:rPr>
            </w:pPr>
            <w:r w:rsidRPr="00DA5BE7">
              <w:rPr>
                <w:b/>
                <w:sz w:val="16"/>
                <w:szCs w:val="18"/>
              </w:rPr>
              <w:t>Fractions:</w:t>
            </w:r>
            <w:r w:rsidRPr="00DA5BE7">
              <w:rPr>
                <w:sz w:val="16"/>
                <w:szCs w:val="18"/>
              </w:rPr>
              <w:t xml:space="preserve"> to </w:t>
            </w:r>
            <w:r w:rsidRPr="00DA5BE7">
              <w:rPr>
                <w:rFonts w:cs="Aharoni"/>
                <w:sz w:val="16"/>
                <w:szCs w:val="18"/>
              </w:rPr>
              <w:t>count up and down in tenths, recognise that hundredths arise when dividing an object by a hundred and dividing tenths by 10, to recognise and show, using diagrams fractions of common equivalent fractions, to find the effect of dividing a one- or two-digit number by 10 and 100, identifying the value of the digits in the answer as ones, tenths.</w:t>
            </w:r>
          </w:p>
          <w:p w:rsidR="00A95AFB" w:rsidRPr="00DA5BE7" w:rsidRDefault="00A95AFB" w:rsidP="00A95AFB">
            <w:pPr>
              <w:rPr>
                <w:sz w:val="16"/>
                <w:szCs w:val="17"/>
              </w:rPr>
            </w:pPr>
          </w:p>
          <w:p w:rsidR="00A95AFB" w:rsidRPr="00DA5BE7" w:rsidRDefault="00A95AFB" w:rsidP="00A95AFB">
            <w:pPr>
              <w:rPr>
                <w:rFonts w:cs="Aharoni"/>
                <w:sz w:val="16"/>
                <w:szCs w:val="18"/>
              </w:rPr>
            </w:pPr>
            <w:r w:rsidRPr="00DA5BE7">
              <w:rPr>
                <w:b/>
                <w:sz w:val="16"/>
                <w:szCs w:val="18"/>
              </w:rPr>
              <w:t xml:space="preserve">Measurement: </w:t>
            </w:r>
            <w:r w:rsidRPr="00DA5BE7">
              <w:rPr>
                <w:sz w:val="16"/>
                <w:szCs w:val="18"/>
              </w:rPr>
              <w:t>to</w:t>
            </w:r>
            <w:r w:rsidRPr="00DA5BE7">
              <w:rPr>
                <w:b/>
                <w:sz w:val="16"/>
                <w:szCs w:val="18"/>
              </w:rPr>
              <w:t xml:space="preserve"> </w:t>
            </w:r>
            <w:r w:rsidRPr="00DA5BE7">
              <w:rPr>
                <w:rFonts w:cs="Aharoni"/>
                <w:sz w:val="16"/>
                <w:szCs w:val="18"/>
              </w:rPr>
              <w:t xml:space="preserve">measure and calculate the perimeter of a rectilinear figure (including squares) in centimetres and metres, to estimate, compare and calculate different measures including money in pounds and pence and to read and convert time between analogue and digital 12 and 24-hour clocks. </w:t>
            </w:r>
          </w:p>
          <w:p w:rsidR="00A95AFB" w:rsidRPr="00DA5BE7" w:rsidRDefault="00A95AFB" w:rsidP="00A95AFB">
            <w:pPr>
              <w:rPr>
                <w:rFonts w:cs="Aharoni"/>
                <w:sz w:val="16"/>
                <w:szCs w:val="18"/>
              </w:rPr>
            </w:pPr>
          </w:p>
          <w:p w:rsidR="00DA5BE7" w:rsidRPr="00DA5BE7" w:rsidRDefault="00A95AFB" w:rsidP="00A95AFB">
            <w:pPr>
              <w:rPr>
                <w:rFonts w:cs="Aharoni"/>
                <w:sz w:val="16"/>
              </w:rPr>
            </w:pPr>
            <w:r w:rsidRPr="00DA5BE7">
              <w:rPr>
                <w:rFonts w:cs="Aharoni"/>
                <w:b/>
                <w:sz w:val="16"/>
                <w:szCs w:val="18"/>
              </w:rPr>
              <w:t xml:space="preserve">Shape: </w:t>
            </w:r>
            <w:r w:rsidR="00DA5BE7" w:rsidRPr="00DA5BE7">
              <w:rPr>
                <w:rFonts w:cs="Aharoni"/>
                <w:sz w:val="16"/>
              </w:rPr>
              <w:t xml:space="preserve">to compare and classify geometric shapes, including quadrilaterals based on their properties and sizes, to identify lines of symmetry in 2-D shapes presented in different orientations </w:t>
            </w:r>
          </w:p>
          <w:p w:rsidR="00DA5BE7" w:rsidRPr="00DA5BE7" w:rsidRDefault="00DA5BE7" w:rsidP="00A95AFB">
            <w:pPr>
              <w:rPr>
                <w:sz w:val="16"/>
              </w:rPr>
            </w:pPr>
          </w:p>
          <w:p w:rsidR="005E2044" w:rsidRPr="00DA5BE7" w:rsidRDefault="00A95AFB" w:rsidP="00740DEB">
            <w:pPr>
              <w:rPr>
                <w:sz w:val="16"/>
                <w:szCs w:val="17"/>
              </w:rPr>
            </w:pPr>
            <w:r w:rsidRPr="00DA5BE7">
              <w:rPr>
                <w:sz w:val="16"/>
                <w:szCs w:val="17"/>
              </w:rPr>
              <w:t xml:space="preserve">The children will be taking part in problem solving in all areas of mathematics. </w:t>
            </w:r>
          </w:p>
          <w:p w:rsidR="00A95AFB" w:rsidRPr="00A95AFB" w:rsidRDefault="00A95AFB" w:rsidP="00740DEB">
            <w:pPr>
              <w:rPr>
                <w:sz w:val="18"/>
                <w:szCs w:val="17"/>
              </w:rPr>
            </w:pPr>
          </w:p>
        </w:tc>
      </w:tr>
      <w:tr w:rsidR="00977F7A" w:rsidTr="00366BA8">
        <w:trPr>
          <w:trHeight w:val="570"/>
        </w:trPr>
        <w:tc>
          <w:tcPr>
            <w:tcW w:w="4503" w:type="dxa"/>
            <w:gridSpan w:val="2"/>
            <w:shd w:val="clear" w:color="auto" w:fill="E5DFEC" w:themeFill="accent4" w:themeFillTint="33"/>
            <w:vAlign w:val="center"/>
          </w:tcPr>
          <w:p w:rsidR="00977F7A" w:rsidRPr="00DC7014" w:rsidRDefault="00282E01">
            <w:pPr>
              <w:jc w:val="center"/>
              <w:rPr>
                <w:b/>
                <w:color w:val="FF0000"/>
                <w:highlight w:val="yellow"/>
              </w:rPr>
            </w:pPr>
            <w:r w:rsidRPr="00D32C4D">
              <w:rPr>
                <w:b/>
                <w:sz w:val="28"/>
              </w:rPr>
              <w:t>Science</w:t>
            </w:r>
          </w:p>
        </w:tc>
        <w:tc>
          <w:tcPr>
            <w:tcW w:w="6804" w:type="dxa"/>
            <w:gridSpan w:val="4"/>
            <w:vMerge w:val="restart"/>
            <w:shd w:val="clear" w:color="auto" w:fill="E5DFEC" w:themeFill="accent4" w:themeFillTint="33"/>
            <w:vAlign w:val="center"/>
          </w:tcPr>
          <w:p w:rsidR="00977F7A" w:rsidRDefault="00DC7014">
            <w:pPr>
              <w:jc w:val="center"/>
              <w:rPr>
                <w:rFonts w:cs="Arial"/>
                <w:b/>
                <w:sz w:val="28"/>
              </w:rPr>
            </w:pPr>
            <w:r>
              <w:rPr>
                <w:rFonts w:cs="Arial"/>
                <w:b/>
                <w:sz w:val="28"/>
              </w:rPr>
              <w:t xml:space="preserve">Cherry Tree </w:t>
            </w:r>
            <w:r w:rsidR="007A4283">
              <w:rPr>
                <w:rFonts w:cs="Arial"/>
                <w:b/>
                <w:sz w:val="28"/>
              </w:rPr>
              <w:t>Class</w:t>
            </w:r>
            <w:r w:rsidR="00282E01">
              <w:rPr>
                <w:rFonts w:cs="Arial"/>
                <w:b/>
                <w:sz w:val="28"/>
              </w:rPr>
              <w:t xml:space="preserve"> Topic Web </w:t>
            </w:r>
          </w:p>
          <w:p w:rsidR="00977F7A" w:rsidRDefault="00716665">
            <w:pPr>
              <w:jc w:val="center"/>
              <w:rPr>
                <w:rFonts w:cs="Arial"/>
                <w:b/>
                <w:sz w:val="28"/>
              </w:rPr>
            </w:pPr>
            <w:r>
              <w:rPr>
                <w:rFonts w:cs="Arial"/>
                <w:b/>
                <w:sz w:val="28"/>
              </w:rPr>
              <w:t>Spring 1 2018</w:t>
            </w:r>
          </w:p>
        </w:tc>
        <w:tc>
          <w:tcPr>
            <w:tcW w:w="4515" w:type="dxa"/>
            <w:gridSpan w:val="2"/>
            <w:shd w:val="clear" w:color="auto" w:fill="E5DFEC" w:themeFill="accent4" w:themeFillTint="33"/>
            <w:vAlign w:val="center"/>
          </w:tcPr>
          <w:p w:rsidR="00977F7A" w:rsidRPr="00855C3F" w:rsidRDefault="00716665" w:rsidP="00C96365">
            <w:pPr>
              <w:jc w:val="center"/>
              <w:rPr>
                <w:b/>
              </w:rPr>
            </w:pPr>
            <w:r w:rsidRPr="00D204C4">
              <w:rPr>
                <w:b/>
                <w:sz w:val="28"/>
              </w:rPr>
              <w:t>History</w:t>
            </w:r>
            <w:r>
              <w:rPr>
                <w:b/>
                <w:sz w:val="28"/>
              </w:rPr>
              <w:t xml:space="preserve"> </w:t>
            </w:r>
          </w:p>
        </w:tc>
      </w:tr>
      <w:tr w:rsidR="00977F7A" w:rsidTr="003E7632">
        <w:trPr>
          <w:trHeight w:val="293"/>
        </w:trPr>
        <w:tc>
          <w:tcPr>
            <w:tcW w:w="4503" w:type="dxa"/>
            <w:gridSpan w:val="2"/>
            <w:vMerge w:val="restart"/>
          </w:tcPr>
          <w:p w:rsidR="0089275F" w:rsidRPr="00DC7014" w:rsidRDefault="00A95AFB" w:rsidP="008D7FCD">
            <w:pPr>
              <w:rPr>
                <w:color w:val="FF0000"/>
                <w:sz w:val="18"/>
                <w:highlight w:val="yellow"/>
              </w:rPr>
            </w:pPr>
            <w:r w:rsidRPr="00E44BC1">
              <w:rPr>
                <w:sz w:val="18"/>
              </w:rPr>
              <w:t xml:space="preserve">Our ‘States of Matter’ topic this half term, will look at the differences between </w:t>
            </w:r>
            <w:r>
              <w:rPr>
                <w:sz w:val="18"/>
              </w:rPr>
              <w:t>the three</w:t>
            </w:r>
            <w:r w:rsidRPr="00E44BC1">
              <w:rPr>
                <w:sz w:val="18"/>
              </w:rPr>
              <w:t xml:space="preserve"> states of matter and how materials can change state. We will be cooling, melting and recording temperatures, as well as making ice cream! Hopefully the children will pick up some helpful tips on the best conditions for drying washing too!</w:t>
            </w:r>
          </w:p>
        </w:tc>
        <w:tc>
          <w:tcPr>
            <w:tcW w:w="6804" w:type="dxa"/>
            <w:gridSpan w:val="4"/>
            <w:vMerge/>
            <w:tcBorders>
              <w:bottom w:val="single" w:sz="4" w:space="0" w:color="auto"/>
            </w:tcBorders>
            <w:shd w:val="pct12" w:color="auto" w:fill="auto"/>
          </w:tcPr>
          <w:p w:rsidR="00977F7A" w:rsidRDefault="00977F7A"/>
        </w:tc>
        <w:tc>
          <w:tcPr>
            <w:tcW w:w="4515" w:type="dxa"/>
            <w:gridSpan w:val="2"/>
            <w:vMerge w:val="restart"/>
          </w:tcPr>
          <w:p w:rsidR="00D204C4" w:rsidRDefault="00D204C4" w:rsidP="00D204C4">
            <w:pPr>
              <w:rPr>
                <w:sz w:val="17"/>
                <w:szCs w:val="17"/>
              </w:rPr>
            </w:pPr>
            <w:r>
              <w:rPr>
                <w:sz w:val="17"/>
                <w:szCs w:val="17"/>
              </w:rPr>
              <w:t xml:space="preserve">Within History this half term, the children will be exploring some of the key discoveries and developments made within Britain, linked into the study of astronomy and space exploration. The children will create a time line of these key events. Later in the term, we will visit the Needles Battery and discover the significant role that the Isle of Wight played in rocket development and consequently, the race to the Moon.  </w:t>
            </w:r>
          </w:p>
          <w:p w:rsidR="00AE079A" w:rsidRPr="00855C3F" w:rsidRDefault="00D204C4" w:rsidP="00D204C4">
            <w:pPr>
              <w:rPr>
                <w:sz w:val="17"/>
                <w:szCs w:val="17"/>
              </w:rPr>
            </w:pPr>
            <w:r>
              <w:rPr>
                <w:sz w:val="17"/>
                <w:szCs w:val="17"/>
              </w:rPr>
              <w:t xml:space="preserve">   </w:t>
            </w:r>
          </w:p>
        </w:tc>
      </w:tr>
      <w:tr w:rsidR="00977F7A" w:rsidTr="003E7632">
        <w:trPr>
          <w:trHeight w:val="1203"/>
        </w:trPr>
        <w:tc>
          <w:tcPr>
            <w:tcW w:w="4503" w:type="dxa"/>
            <w:gridSpan w:val="2"/>
            <w:vMerge/>
            <w:tcBorders>
              <w:bottom w:val="single" w:sz="4" w:space="0" w:color="auto"/>
            </w:tcBorders>
          </w:tcPr>
          <w:p w:rsidR="00977F7A" w:rsidRDefault="00977F7A">
            <w:pPr>
              <w:rPr>
                <w:sz w:val="22"/>
              </w:rPr>
            </w:pPr>
          </w:p>
        </w:tc>
        <w:tc>
          <w:tcPr>
            <w:tcW w:w="6804" w:type="dxa"/>
            <w:gridSpan w:val="4"/>
            <w:tcBorders>
              <w:bottom w:val="single" w:sz="4" w:space="0" w:color="auto"/>
            </w:tcBorders>
            <w:vAlign w:val="center"/>
          </w:tcPr>
          <w:p w:rsidR="00A528D9" w:rsidRDefault="00A528D9" w:rsidP="00716665">
            <w:pPr>
              <w:jc w:val="center"/>
              <w:rPr>
                <w:rFonts w:cs="Arial"/>
                <w:b/>
                <w:color w:val="1F497D" w:themeColor="text2"/>
                <w:sz w:val="44"/>
              </w:rPr>
            </w:pPr>
            <w:r>
              <w:rPr>
                <w:noProof/>
                <w:lang w:val="en-GB" w:eastAsia="en-GB"/>
              </w:rPr>
              <w:drawing>
                <wp:anchor distT="0" distB="0" distL="114300" distR="114300" simplePos="0" relativeHeight="251661312" behindDoc="1" locked="0" layoutInCell="1" allowOverlap="1" wp14:anchorId="63866589" wp14:editId="35F2227F">
                  <wp:simplePos x="0" y="0"/>
                  <wp:positionH relativeFrom="column">
                    <wp:posOffset>1547495</wp:posOffset>
                  </wp:positionH>
                  <wp:positionV relativeFrom="paragraph">
                    <wp:posOffset>405130</wp:posOffset>
                  </wp:positionV>
                  <wp:extent cx="952500" cy="571500"/>
                  <wp:effectExtent l="0" t="0" r="0" b="0"/>
                  <wp:wrapTight wrapText="bothSides">
                    <wp:wrapPolygon edited="0">
                      <wp:start x="0" y="0"/>
                      <wp:lineTo x="0" y="20880"/>
                      <wp:lineTo x="21168" y="20880"/>
                      <wp:lineTo x="211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b="4000"/>
                          <a:stretch/>
                        </pic:blipFill>
                        <pic:spPr bwMode="auto">
                          <a:xfrm>
                            <a:off x="0" y="0"/>
                            <a:ext cx="952500" cy="571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4BC5" w:rsidRPr="001132CF">
              <w:rPr>
                <w:rFonts w:cs="Arial"/>
                <w:b/>
                <w:color w:val="FF0000"/>
                <w:sz w:val="44"/>
              </w:rPr>
              <w:t xml:space="preserve"> </w:t>
            </w:r>
            <w:r w:rsidR="00B15023" w:rsidRPr="001132CF">
              <w:rPr>
                <w:rFonts w:cs="Arial"/>
                <w:b/>
                <w:color w:val="FF0000"/>
                <w:sz w:val="44"/>
              </w:rPr>
              <w:t>‘</w:t>
            </w:r>
            <w:r w:rsidR="00716665">
              <w:rPr>
                <w:rFonts w:cs="Arial"/>
                <w:b/>
                <w:color w:val="FF0000"/>
                <w:sz w:val="44"/>
              </w:rPr>
              <w:t>To infinity and beyond!</w:t>
            </w:r>
            <w:r w:rsidR="00C336A4">
              <w:rPr>
                <w:rFonts w:cs="Arial"/>
                <w:b/>
                <w:color w:val="FF0000"/>
                <w:sz w:val="44"/>
              </w:rPr>
              <w:t>’</w:t>
            </w:r>
          </w:p>
          <w:p w:rsidR="00A528D9" w:rsidRPr="00A528D9" w:rsidRDefault="00A528D9" w:rsidP="00A528D9">
            <w:pPr>
              <w:rPr>
                <w:rFonts w:cs="Arial"/>
                <w:sz w:val="44"/>
              </w:rPr>
            </w:pPr>
          </w:p>
          <w:p w:rsidR="00A528D9" w:rsidRPr="00A528D9" w:rsidRDefault="00A528D9" w:rsidP="00A528D9">
            <w:pPr>
              <w:rPr>
                <w:rFonts w:cs="Arial"/>
                <w:sz w:val="44"/>
              </w:rPr>
            </w:pPr>
          </w:p>
          <w:p w:rsidR="00977F7A" w:rsidRPr="00A528D9" w:rsidRDefault="00977F7A" w:rsidP="00A528D9">
            <w:pPr>
              <w:rPr>
                <w:rFonts w:cs="Arial"/>
                <w:sz w:val="12"/>
              </w:rPr>
            </w:pPr>
          </w:p>
        </w:tc>
        <w:tc>
          <w:tcPr>
            <w:tcW w:w="4515" w:type="dxa"/>
            <w:gridSpan w:val="2"/>
            <w:vMerge/>
            <w:tcBorders>
              <w:bottom w:val="single" w:sz="4" w:space="0" w:color="auto"/>
            </w:tcBorders>
          </w:tcPr>
          <w:p w:rsidR="00977F7A" w:rsidRPr="00DC7014" w:rsidRDefault="00977F7A">
            <w:pPr>
              <w:rPr>
                <w:sz w:val="22"/>
                <w:highlight w:val="yellow"/>
              </w:rPr>
            </w:pPr>
          </w:p>
        </w:tc>
      </w:tr>
      <w:tr w:rsidR="00A33720" w:rsidTr="00366BA8">
        <w:trPr>
          <w:trHeight w:val="571"/>
        </w:trPr>
        <w:tc>
          <w:tcPr>
            <w:tcW w:w="2235" w:type="dxa"/>
            <w:shd w:val="clear" w:color="auto" w:fill="E5DFEC" w:themeFill="accent4" w:themeFillTint="33"/>
            <w:vAlign w:val="center"/>
          </w:tcPr>
          <w:p w:rsidR="00977F7A" w:rsidRPr="00DC7014" w:rsidRDefault="00282E01">
            <w:pPr>
              <w:jc w:val="center"/>
              <w:rPr>
                <w:b/>
              </w:rPr>
            </w:pPr>
            <w:r w:rsidRPr="00366BA8">
              <w:rPr>
                <w:b/>
                <w:sz w:val="28"/>
              </w:rPr>
              <w:t>RE</w:t>
            </w:r>
          </w:p>
        </w:tc>
        <w:tc>
          <w:tcPr>
            <w:tcW w:w="2268" w:type="dxa"/>
            <w:shd w:val="clear" w:color="auto" w:fill="E5DFEC" w:themeFill="accent4" w:themeFillTint="33"/>
            <w:vAlign w:val="center"/>
          </w:tcPr>
          <w:p w:rsidR="00977F7A" w:rsidRPr="00DC7014" w:rsidRDefault="00282E01">
            <w:pPr>
              <w:jc w:val="center"/>
              <w:rPr>
                <w:b/>
              </w:rPr>
            </w:pPr>
            <w:r w:rsidRPr="00366BA8">
              <w:rPr>
                <w:b/>
                <w:sz w:val="28"/>
              </w:rPr>
              <w:t>PSHE</w:t>
            </w:r>
          </w:p>
        </w:tc>
        <w:tc>
          <w:tcPr>
            <w:tcW w:w="2268" w:type="dxa"/>
            <w:shd w:val="clear" w:color="auto" w:fill="E5DFEC" w:themeFill="accent4" w:themeFillTint="33"/>
            <w:vAlign w:val="center"/>
          </w:tcPr>
          <w:p w:rsidR="00977F7A" w:rsidRPr="00DC7014" w:rsidRDefault="00C96365">
            <w:pPr>
              <w:jc w:val="center"/>
              <w:rPr>
                <w:b/>
                <w:color w:val="FF0000"/>
                <w:sz w:val="28"/>
                <w:highlight w:val="yellow"/>
              </w:rPr>
            </w:pPr>
            <w:r w:rsidRPr="00574DBE">
              <w:rPr>
                <w:b/>
                <w:sz w:val="28"/>
              </w:rPr>
              <w:t xml:space="preserve">French </w:t>
            </w:r>
          </w:p>
        </w:tc>
        <w:tc>
          <w:tcPr>
            <w:tcW w:w="3118" w:type="dxa"/>
            <w:gridSpan w:val="2"/>
            <w:shd w:val="clear" w:color="auto" w:fill="E5DFEC" w:themeFill="accent4" w:themeFillTint="33"/>
            <w:vAlign w:val="center"/>
          </w:tcPr>
          <w:p w:rsidR="00977F7A" w:rsidRPr="00DC7014" w:rsidRDefault="00C336A4">
            <w:pPr>
              <w:jc w:val="center"/>
              <w:rPr>
                <w:b/>
                <w:color w:val="FF0000"/>
                <w:sz w:val="28"/>
                <w:highlight w:val="yellow"/>
              </w:rPr>
            </w:pPr>
            <w:r>
              <w:rPr>
                <w:b/>
                <w:sz w:val="28"/>
              </w:rPr>
              <w:t xml:space="preserve">Art </w:t>
            </w:r>
          </w:p>
        </w:tc>
        <w:tc>
          <w:tcPr>
            <w:tcW w:w="1418" w:type="dxa"/>
            <w:shd w:val="clear" w:color="auto" w:fill="E5DFEC" w:themeFill="accent4" w:themeFillTint="33"/>
            <w:vAlign w:val="center"/>
          </w:tcPr>
          <w:p w:rsidR="00977F7A" w:rsidRPr="00105BAA" w:rsidRDefault="00282E01">
            <w:pPr>
              <w:jc w:val="center"/>
              <w:rPr>
                <w:b/>
                <w:sz w:val="28"/>
              </w:rPr>
            </w:pPr>
            <w:r w:rsidRPr="00105BAA">
              <w:rPr>
                <w:b/>
                <w:sz w:val="28"/>
              </w:rPr>
              <w:t>PE</w:t>
            </w:r>
          </w:p>
        </w:tc>
        <w:tc>
          <w:tcPr>
            <w:tcW w:w="2976" w:type="dxa"/>
            <w:shd w:val="clear" w:color="auto" w:fill="E5DFEC" w:themeFill="accent4" w:themeFillTint="33"/>
            <w:vAlign w:val="center"/>
          </w:tcPr>
          <w:p w:rsidR="00977F7A" w:rsidRPr="00855C3F" w:rsidRDefault="00716665">
            <w:pPr>
              <w:jc w:val="center"/>
              <w:rPr>
                <w:b/>
                <w:sz w:val="28"/>
              </w:rPr>
            </w:pPr>
            <w:r w:rsidRPr="00D204C4">
              <w:rPr>
                <w:b/>
                <w:sz w:val="28"/>
              </w:rPr>
              <w:t>DT</w:t>
            </w:r>
          </w:p>
        </w:tc>
        <w:tc>
          <w:tcPr>
            <w:tcW w:w="1539" w:type="dxa"/>
            <w:shd w:val="clear" w:color="auto" w:fill="E5DFEC" w:themeFill="accent4" w:themeFillTint="33"/>
            <w:vAlign w:val="center"/>
          </w:tcPr>
          <w:p w:rsidR="00977F7A" w:rsidRPr="00574DBE" w:rsidRDefault="00E47C14">
            <w:pPr>
              <w:jc w:val="center"/>
              <w:rPr>
                <w:b/>
                <w:color w:val="FF0000"/>
                <w:sz w:val="28"/>
              </w:rPr>
            </w:pPr>
            <w:r w:rsidRPr="00574DBE">
              <w:rPr>
                <w:b/>
                <w:sz w:val="28"/>
              </w:rPr>
              <w:t>Music</w:t>
            </w:r>
          </w:p>
        </w:tc>
      </w:tr>
      <w:tr w:rsidR="00A33720" w:rsidTr="00151BC5">
        <w:trPr>
          <w:trHeight w:val="1685"/>
        </w:trPr>
        <w:tc>
          <w:tcPr>
            <w:tcW w:w="2235" w:type="dxa"/>
          </w:tcPr>
          <w:p w:rsidR="00977F7A" w:rsidRPr="00DC7014" w:rsidRDefault="004E0B86" w:rsidP="00C336A4">
            <w:pPr>
              <w:rPr>
                <w:sz w:val="18"/>
                <w:szCs w:val="18"/>
              </w:rPr>
            </w:pPr>
            <w:r w:rsidRPr="00DC7014">
              <w:rPr>
                <w:sz w:val="18"/>
                <w:szCs w:val="18"/>
              </w:rPr>
              <w:t xml:space="preserve">In Religious Studies this half term, we will be </w:t>
            </w:r>
            <w:r w:rsidR="00CE0C51">
              <w:rPr>
                <w:sz w:val="18"/>
                <w:szCs w:val="18"/>
              </w:rPr>
              <w:t xml:space="preserve">exploring Islam and the five pillars in depth. We will also make links between Islam and Christianity. </w:t>
            </w:r>
          </w:p>
        </w:tc>
        <w:tc>
          <w:tcPr>
            <w:tcW w:w="2268" w:type="dxa"/>
          </w:tcPr>
          <w:p w:rsidR="00655713" w:rsidRPr="00574DBE" w:rsidRDefault="004E0B86" w:rsidP="00C336A4">
            <w:pPr>
              <w:rPr>
                <w:sz w:val="18"/>
                <w:szCs w:val="18"/>
              </w:rPr>
            </w:pPr>
            <w:r w:rsidRPr="00574DBE">
              <w:rPr>
                <w:sz w:val="18"/>
                <w:szCs w:val="18"/>
              </w:rPr>
              <w:t>In PSHE this half term, we will be</w:t>
            </w:r>
            <w:r w:rsidR="006D2492" w:rsidRPr="00574DBE">
              <w:rPr>
                <w:sz w:val="18"/>
                <w:szCs w:val="18"/>
              </w:rPr>
              <w:t xml:space="preserve"> </w:t>
            </w:r>
            <w:r w:rsidR="00CE0C51">
              <w:rPr>
                <w:sz w:val="18"/>
                <w:szCs w:val="18"/>
              </w:rPr>
              <w:t xml:space="preserve">exploring relationships. We will look at the types of relationships we have with people, what relationships mean to us and how to deal with different types of relationships. </w:t>
            </w:r>
          </w:p>
        </w:tc>
        <w:tc>
          <w:tcPr>
            <w:tcW w:w="2268" w:type="dxa"/>
          </w:tcPr>
          <w:p w:rsidR="00655713" w:rsidRPr="00574DBE" w:rsidRDefault="00655713" w:rsidP="006D2492">
            <w:pPr>
              <w:rPr>
                <w:color w:val="FF0000"/>
                <w:sz w:val="18"/>
                <w:szCs w:val="18"/>
              </w:rPr>
            </w:pPr>
            <w:r w:rsidRPr="00574DBE">
              <w:rPr>
                <w:sz w:val="18"/>
                <w:szCs w:val="18"/>
              </w:rPr>
              <w:t xml:space="preserve"> </w:t>
            </w:r>
            <w:r w:rsidR="00574DBE" w:rsidRPr="00574DBE">
              <w:rPr>
                <w:color w:val="000000" w:themeColor="text1"/>
                <w:sz w:val="17"/>
                <w:szCs w:val="17"/>
              </w:rPr>
              <w:t xml:space="preserve">We will be learning </w:t>
            </w:r>
            <w:r w:rsidR="00CE0C51">
              <w:rPr>
                <w:color w:val="000000" w:themeColor="text1"/>
                <w:sz w:val="17"/>
                <w:szCs w:val="17"/>
              </w:rPr>
              <w:t xml:space="preserve">about names for people in our family, the months of the year and numbers up to 30. We will be creating our own party invitations combining the days, numbers and months and will also create a family drawing with labels.  </w:t>
            </w:r>
          </w:p>
        </w:tc>
        <w:tc>
          <w:tcPr>
            <w:tcW w:w="3118" w:type="dxa"/>
            <w:gridSpan w:val="2"/>
          </w:tcPr>
          <w:p w:rsidR="00655713" w:rsidRPr="00DC7014" w:rsidRDefault="00530DC9" w:rsidP="00C336A4">
            <w:pPr>
              <w:rPr>
                <w:color w:val="FF0000"/>
                <w:sz w:val="18"/>
                <w:szCs w:val="18"/>
                <w:highlight w:val="yellow"/>
              </w:rPr>
            </w:pPr>
            <w:r w:rsidRPr="00C05F84">
              <w:rPr>
                <w:sz w:val="18"/>
                <w:szCs w:val="18"/>
              </w:rPr>
              <w:t>Over the half term, the children will be</w:t>
            </w:r>
            <w:r w:rsidR="00CE0C51">
              <w:rPr>
                <w:sz w:val="18"/>
                <w:szCs w:val="18"/>
              </w:rPr>
              <w:t xml:space="preserve"> exploring Van Gogh’s ‘A starry night’ and imitating the artists work. We will also create a space themed background using defusing and marbling techniques. The children will also create their own alien in the style of a pop art artist, to go on top of their space themed background. </w:t>
            </w:r>
          </w:p>
        </w:tc>
        <w:tc>
          <w:tcPr>
            <w:tcW w:w="1418" w:type="dxa"/>
          </w:tcPr>
          <w:p w:rsidR="004E0B86" w:rsidRPr="00CE0C51" w:rsidRDefault="00105BAA" w:rsidP="00CD4F03">
            <w:pPr>
              <w:rPr>
                <w:sz w:val="18"/>
                <w:szCs w:val="18"/>
                <w:u w:val="single"/>
              </w:rPr>
            </w:pPr>
            <w:r w:rsidRPr="00CE0C51">
              <w:rPr>
                <w:sz w:val="18"/>
                <w:szCs w:val="18"/>
              </w:rPr>
              <w:t xml:space="preserve">The children will be working with the sports coach, taking part in a variety of sports over the year. </w:t>
            </w:r>
          </w:p>
          <w:p w:rsidR="004E0B86" w:rsidRPr="00CE0C51" w:rsidRDefault="004E0B86" w:rsidP="00CD4F03">
            <w:pPr>
              <w:rPr>
                <w:sz w:val="18"/>
                <w:szCs w:val="18"/>
              </w:rPr>
            </w:pPr>
          </w:p>
          <w:p w:rsidR="00FB57A0" w:rsidRPr="00CE0C51" w:rsidRDefault="00FB57A0" w:rsidP="00CD4F03">
            <w:pPr>
              <w:rPr>
                <w:sz w:val="18"/>
                <w:szCs w:val="18"/>
              </w:rPr>
            </w:pPr>
          </w:p>
        </w:tc>
        <w:tc>
          <w:tcPr>
            <w:tcW w:w="2976" w:type="dxa"/>
          </w:tcPr>
          <w:p w:rsidR="00977F7A" w:rsidRPr="00855C3F" w:rsidRDefault="00D204C4" w:rsidP="006D2492">
            <w:pPr>
              <w:rPr>
                <w:sz w:val="18"/>
                <w:szCs w:val="18"/>
              </w:rPr>
            </w:pPr>
            <w:r>
              <w:rPr>
                <w:sz w:val="18"/>
                <w:szCs w:val="18"/>
              </w:rPr>
              <w:t>Within DT this term the children will be working through the design process (design, make and evaluate) to create a moving Mars Rover. The children will acquire the technical skills of how to shape, strengthen and join materials, which will enable them to create their final outcome.</w:t>
            </w:r>
          </w:p>
        </w:tc>
        <w:tc>
          <w:tcPr>
            <w:tcW w:w="1539" w:type="dxa"/>
          </w:tcPr>
          <w:p w:rsidR="00977F7A" w:rsidRPr="00574DBE" w:rsidRDefault="00E47C14" w:rsidP="00D204C4">
            <w:pPr>
              <w:rPr>
                <w:color w:val="FF0000"/>
                <w:sz w:val="18"/>
                <w:szCs w:val="18"/>
              </w:rPr>
            </w:pPr>
            <w:r w:rsidRPr="00CE0C51">
              <w:rPr>
                <w:sz w:val="18"/>
                <w:szCs w:val="18"/>
              </w:rPr>
              <w:t xml:space="preserve">This half term, we will be </w:t>
            </w:r>
            <w:r w:rsidR="00574DBE" w:rsidRPr="00CE0C51">
              <w:rPr>
                <w:sz w:val="18"/>
                <w:szCs w:val="18"/>
              </w:rPr>
              <w:t xml:space="preserve">learning to play </w:t>
            </w:r>
            <w:r w:rsidR="00D204C4">
              <w:rPr>
                <w:sz w:val="18"/>
                <w:szCs w:val="18"/>
              </w:rPr>
              <w:t xml:space="preserve">a range of instruments over the year, spending half a term on each.  </w:t>
            </w:r>
          </w:p>
        </w:tc>
      </w:tr>
    </w:tbl>
    <w:p w:rsidR="00977F7A" w:rsidRDefault="00977F7A"/>
    <w:sectPr w:rsidR="00977F7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3C9E"/>
    <w:multiLevelType w:val="hybridMultilevel"/>
    <w:tmpl w:val="ED66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6B49A3"/>
    <w:multiLevelType w:val="hybridMultilevel"/>
    <w:tmpl w:val="58D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EE7CEE"/>
    <w:multiLevelType w:val="hybridMultilevel"/>
    <w:tmpl w:val="0A4EB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D934D5"/>
    <w:multiLevelType w:val="hybridMultilevel"/>
    <w:tmpl w:val="067C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D50330"/>
    <w:multiLevelType w:val="hybridMultilevel"/>
    <w:tmpl w:val="CD6411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7001676"/>
    <w:multiLevelType w:val="hybridMultilevel"/>
    <w:tmpl w:val="A6E4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5A2BA7"/>
    <w:multiLevelType w:val="hybridMultilevel"/>
    <w:tmpl w:val="DE528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514E5413"/>
    <w:multiLevelType w:val="hybridMultilevel"/>
    <w:tmpl w:val="AFC0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AD0DCE"/>
    <w:multiLevelType w:val="hybridMultilevel"/>
    <w:tmpl w:val="8D2A2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5F255D20"/>
    <w:multiLevelType w:val="hybridMultilevel"/>
    <w:tmpl w:val="A662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C33E59"/>
    <w:multiLevelType w:val="hybridMultilevel"/>
    <w:tmpl w:val="56462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AB7473"/>
    <w:multiLevelType w:val="hybridMultilevel"/>
    <w:tmpl w:val="60C83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E87466A"/>
    <w:multiLevelType w:val="hybridMultilevel"/>
    <w:tmpl w:val="1FC0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7"/>
  </w:num>
  <w:num w:numId="5">
    <w:abstractNumId w:val="9"/>
  </w:num>
  <w:num w:numId="6">
    <w:abstractNumId w:val="5"/>
  </w:num>
  <w:num w:numId="7">
    <w:abstractNumId w:val="1"/>
  </w:num>
  <w:num w:numId="8">
    <w:abstractNumId w:val="6"/>
  </w:num>
  <w:num w:numId="9">
    <w:abstractNumId w:val="3"/>
  </w:num>
  <w:num w:numId="10">
    <w:abstractNumId w:val="4"/>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7A"/>
    <w:rsid w:val="000824A6"/>
    <w:rsid w:val="00085F74"/>
    <w:rsid w:val="000A3C93"/>
    <w:rsid w:val="000C2336"/>
    <w:rsid w:val="000C639F"/>
    <w:rsid w:val="000F47BB"/>
    <w:rsid w:val="0010563D"/>
    <w:rsid w:val="00105BAA"/>
    <w:rsid w:val="001132CF"/>
    <w:rsid w:val="0011566B"/>
    <w:rsid w:val="001217E7"/>
    <w:rsid w:val="00132A32"/>
    <w:rsid w:val="001360E5"/>
    <w:rsid w:val="00136E64"/>
    <w:rsid w:val="001412D3"/>
    <w:rsid w:val="00151BC5"/>
    <w:rsid w:val="00171059"/>
    <w:rsid w:val="00195FA2"/>
    <w:rsid w:val="001B3D81"/>
    <w:rsid w:val="001B5187"/>
    <w:rsid w:val="001C3062"/>
    <w:rsid w:val="001D43E8"/>
    <w:rsid w:val="002163ED"/>
    <w:rsid w:val="00252DDE"/>
    <w:rsid w:val="0026188A"/>
    <w:rsid w:val="00282E01"/>
    <w:rsid w:val="00294D8D"/>
    <w:rsid w:val="002B2D99"/>
    <w:rsid w:val="00343E2C"/>
    <w:rsid w:val="00344E8B"/>
    <w:rsid w:val="00366BA8"/>
    <w:rsid w:val="00366DB4"/>
    <w:rsid w:val="0037504D"/>
    <w:rsid w:val="003E6A82"/>
    <w:rsid w:val="003E7632"/>
    <w:rsid w:val="00425A17"/>
    <w:rsid w:val="00436F1B"/>
    <w:rsid w:val="0045067E"/>
    <w:rsid w:val="004D155F"/>
    <w:rsid w:val="004E0B86"/>
    <w:rsid w:val="004E794C"/>
    <w:rsid w:val="00505E61"/>
    <w:rsid w:val="00521AE2"/>
    <w:rsid w:val="00530DC9"/>
    <w:rsid w:val="00574DBE"/>
    <w:rsid w:val="00594731"/>
    <w:rsid w:val="005E2044"/>
    <w:rsid w:val="005E2C06"/>
    <w:rsid w:val="006540BF"/>
    <w:rsid w:val="00655713"/>
    <w:rsid w:val="00670121"/>
    <w:rsid w:val="0067091F"/>
    <w:rsid w:val="006761C5"/>
    <w:rsid w:val="006855C4"/>
    <w:rsid w:val="006904B1"/>
    <w:rsid w:val="006B7623"/>
    <w:rsid w:val="006B77D3"/>
    <w:rsid w:val="006D2492"/>
    <w:rsid w:val="006D7979"/>
    <w:rsid w:val="006E1533"/>
    <w:rsid w:val="006E34BB"/>
    <w:rsid w:val="007064E6"/>
    <w:rsid w:val="00707744"/>
    <w:rsid w:val="00716665"/>
    <w:rsid w:val="00725663"/>
    <w:rsid w:val="00740DEB"/>
    <w:rsid w:val="00744C82"/>
    <w:rsid w:val="00752DC8"/>
    <w:rsid w:val="007716EA"/>
    <w:rsid w:val="0078476B"/>
    <w:rsid w:val="00793642"/>
    <w:rsid w:val="007A4283"/>
    <w:rsid w:val="007C6CAE"/>
    <w:rsid w:val="00836486"/>
    <w:rsid w:val="00855C3F"/>
    <w:rsid w:val="008678B5"/>
    <w:rsid w:val="00875953"/>
    <w:rsid w:val="008848F2"/>
    <w:rsid w:val="008920D8"/>
    <w:rsid w:val="0089275F"/>
    <w:rsid w:val="008D7FCD"/>
    <w:rsid w:val="008E3A76"/>
    <w:rsid w:val="00977F7A"/>
    <w:rsid w:val="0098073C"/>
    <w:rsid w:val="00981C51"/>
    <w:rsid w:val="009F1660"/>
    <w:rsid w:val="009F4060"/>
    <w:rsid w:val="00A32D24"/>
    <w:rsid w:val="00A33720"/>
    <w:rsid w:val="00A342CC"/>
    <w:rsid w:val="00A34BC5"/>
    <w:rsid w:val="00A376B9"/>
    <w:rsid w:val="00A528D9"/>
    <w:rsid w:val="00A828E5"/>
    <w:rsid w:val="00A95AFB"/>
    <w:rsid w:val="00A97C75"/>
    <w:rsid w:val="00AE079A"/>
    <w:rsid w:val="00AF1D26"/>
    <w:rsid w:val="00B030FF"/>
    <w:rsid w:val="00B05FCC"/>
    <w:rsid w:val="00B15023"/>
    <w:rsid w:val="00B154F2"/>
    <w:rsid w:val="00B17D51"/>
    <w:rsid w:val="00B41E1C"/>
    <w:rsid w:val="00B83488"/>
    <w:rsid w:val="00BA1923"/>
    <w:rsid w:val="00BD546F"/>
    <w:rsid w:val="00BE1738"/>
    <w:rsid w:val="00BE53B7"/>
    <w:rsid w:val="00C22D84"/>
    <w:rsid w:val="00C336A4"/>
    <w:rsid w:val="00C44102"/>
    <w:rsid w:val="00C528CC"/>
    <w:rsid w:val="00C729A7"/>
    <w:rsid w:val="00C812CA"/>
    <w:rsid w:val="00C96365"/>
    <w:rsid w:val="00CA72F3"/>
    <w:rsid w:val="00CB3EDD"/>
    <w:rsid w:val="00CC12B7"/>
    <w:rsid w:val="00CD4F03"/>
    <w:rsid w:val="00CE0C51"/>
    <w:rsid w:val="00CF3B86"/>
    <w:rsid w:val="00D01328"/>
    <w:rsid w:val="00D204C4"/>
    <w:rsid w:val="00D32C4D"/>
    <w:rsid w:val="00D86599"/>
    <w:rsid w:val="00DA5BE7"/>
    <w:rsid w:val="00DC6CAD"/>
    <w:rsid w:val="00DC7014"/>
    <w:rsid w:val="00DE14D2"/>
    <w:rsid w:val="00E44BC1"/>
    <w:rsid w:val="00E47C14"/>
    <w:rsid w:val="00ED598E"/>
    <w:rsid w:val="00EF3ACE"/>
    <w:rsid w:val="00F013B8"/>
    <w:rsid w:val="00F032B8"/>
    <w:rsid w:val="00F52727"/>
    <w:rsid w:val="00F62D75"/>
    <w:rsid w:val="00F6736B"/>
    <w:rsid w:val="00F910C1"/>
    <w:rsid w:val="00FB57A0"/>
    <w:rsid w:val="00FC77C5"/>
    <w:rsid w:val="00FD1833"/>
    <w:rsid w:val="00FD73B7"/>
    <w:rsid w:val="00FF75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ListParagraph">
    <w:name w:val="List Paragraph"/>
    <w:basedOn w:val="Normal"/>
    <w:uiPriority w:val="34"/>
    <w:qFormat/>
    <w:rsid w:val="00A342CC"/>
    <w:pPr>
      <w:spacing w:after="200" w:line="276"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5426">
      <w:bodyDiv w:val="1"/>
      <w:marLeft w:val="0"/>
      <w:marRight w:val="0"/>
      <w:marTop w:val="0"/>
      <w:marBottom w:val="0"/>
      <w:divBdr>
        <w:top w:val="none" w:sz="0" w:space="0" w:color="auto"/>
        <w:left w:val="none" w:sz="0" w:space="0" w:color="auto"/>
        <w:bottom w:val="none" w:sz="0" w:space="0" w:color="auto"/>
        <w:right w:val="none" w:sz="0" w:space="0" w:color="auto"/>
      </w:divBdr>
    </w:div>
    <w:div w:id="967049559">
      <w:bodyDiv w:val="1"/>
      <w:marLeft w:val="0"/>
      <w:marRight w:val="0"/>
      <w:marTop w:val="0"/>
      <w:marBottom w:val="0"/>
      <w:divBdr>
        <w:top w:val="none" w:sz="0" w:space="0" w:color="auto"/>
        <w:left w:val="none" w:sz="0" w:space="0" w:color="auto"/>
        <w:bottom w:val="none" w:sz="0" w:space="0" w:color="auto"/>
        <w:right w:val="none" w:sz="0" w:space="0" w:color="auto"/>
      </w:divBdr>
    </w:div>
    <w:div w:id="1157266759">
      <w:bodyDiv w:val="1"/>
      <w:marLeft w:val="0"/>
      <w:marRight w:val="0"/>
      <w:marTop w:val="0"/>
      <w:marBottom w:val="0"/>
      <w:divBdr>
        <w:top w:val="none" w:sz="0" w:space="0" w:color="auto"/>
        <w:left w:val="none" w:sz="0" w:space="0" w:color="auto"/>
        <w:bottom w:val="none" w:sz="0" w:space="0" w:color="auto"/>
        <w:right w:val="none" w:sz="0" w:space="0" w:color="auto"/>
      </w:divBdr>
    </w:div>
    <w:div w:id="186050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6D7C9-57C6-4DFB-8385-DBB0873F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Lucy Peto</cp:lastModifiedBy>
  <cp:revision>104</cp:revision>
  <cp:lastPrinted>2017-09-03T11:05:00Z</cp:lastPrinted>
  <dcterms:created xsi:type="dcterms:W3CDTF">2017-06-07T07:14:00Z</dcterms:created>
  <dcterms:modified xsi:type="dcterms:W3CDTF">2018-01-04T06:49:00Z</dcterms:modified>
</cp:coreProperties>
</file>