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72"/>
        <w:gridCol w:w="846"/>
        <w:gridCol w:w="1280"/>
        <w:gridCol w:w="5245"/>
        <w:gridCol w:w="1267"/>
        <w:gridCol w:w="859"/>
        <w:gridCol w:w="2919"/>
      </w:tblGrid>
      <w:tr w:rsidR="00DB7F14" w:rsidTr="0062037A">
        <w:trPr>
          <w:trHeight w:val="551"/>
        </w:trPr>
        <w:tc>
          <w:tcPr>
            <w:tcW w:w="10343" w:type="dxa"/>
            <w:gridSpan w:val="4"/>
            <w:shd w:val="pct10" w:color="auto" w:fill="auto"/>
            <w:vAlign w:val="center"/>
          </w:tcPr>
          <w:p w:rsidR="00DB7F14" w:rsidRDefault="00466627">
            <w:pPr>
              <w:jc w:val="center"/>
              <w:rPr>
                <w:b/>
              </w:rPr>
            </w:pPr>
            <w:r>
              <w:rPr>
                <w:b/>
              </w:rPr>
              <w:t>English</w:t>
            </w:r>
          </w:p>
        </w:tc>
        <w:tc>
          <w:tcPr>
            <w:tcW w:w="5045" w:type="dxa"/>
            <w:gridSpan w:val="3"/>
            <w:shd w:val="pct10" w:color="auto" w:fill="auto"/>
            <w:vAlign w:val="center"/>
          </w:tcPr>
          <w:p w:rsidR="00DB7F14" w:rsidRDefault="00466627">
            <w:pPr>
              <w:jc w:val="center"/>
              <w:rPr>
                <w:b/>
              </w:rPr>
            </w:pPr>
            <w:r>
              <w:rPr>
                <w:b/>
              </w:rPr>
              <w:t>Maths</w:t>
            </w:r>
          </w:p>
        </w:tc>
      </w:tr>
      <w:tr w:rsidR="00DB7F14" w:rsidTr="0062037A">
        <w:trPr>
          <w:trHeight w:val="2814"/>
        </w:trPr>
        <w:tc>
          <w:tcPr>
            <w:tcW w:w="10343" w:type="dxa"/>
            <w:gridSpan w:val="4"/>
            <w:tcBorders>
              <w:bottom w:val="single" w:sz="4" w:space="0" w:color="auto"/>
            </w:tcBorders>
          </w:tcPr>
          <w:p w:rsidR="00DB7F14" w:rsidRDefault="00466627">
            <w:pPr>
              <w:rPr>
                <w:rFonts w:cs="Arial"/>
                <w:sz w:val="22"/>
                <w:szCs w:val="22"/>
              </w:rPr>
            </w:pPr>
            <w:proofErr w:type="spellStart"/>
            <w:r>
              <w:rPr>
                <w:rFonts w:cs="Arial"/>
                <w:sz w:val="22"/>
                <w:szCs w:val="22"/>
                <w:u w:val="single"/>
              </w:rPr>
              <w:t>Mr</w:t>
            </w:r>
            <w:proofErr w:type="spellEnd"/>
            <w:r>
              <w:rPr>
                <w:rFonts w:cs="Arial"/>
                <w:sz w:val="22"/>
                <w:szCs w:val="22"/>
                <w:u w:val="single"/>
              </w:rPr>
              <w:t xml:space="preserve"> Men and Little Miss books</w:t>
            </w:r>
          </w:p>
          <w:p w:rsidR="00DB7F14" w:rsidRDefault="00466627">
            <w:pPr>
              <w:rPr>
                <w:rFonts w:cs="Arial"/>
                <w:color w:val="000000" w:themeColor="text1"/>
                <w:sz w:val="22"/>
                <w:szCs w:val="22"/>
              </w:rPr>
            </w:pPr>
            <w:r>
              <w:rPr>
                <w:rFonts w:cs="Arial"/>
                <w:color w:val="000000" w:themeColor="text1"/>
                <w:sz w:val="22"/>
                <w:szCs w:val="22"/>
              </w:rPr>
              <w:t xml:space="preserve">We will be reading a range of </w:t>
            </w:r>
            <w:proofErr w:type="spellStart"/>
            <w:r>
              <w:rPr>
                <w:rFonts w:cs="Arial"/>
                <w:color w:val="000000" w:themeColor="text1"/>
                <w:sz w:val="22"/>
                <w:szCs w:val="22"/>
              </w:rPr>
              <w:t>Mr</w:t>
            </w:r>
            <w:proofErr w:type="spellEnd"/>
            <w:r>
              <w:rPr>
                <w:rFonts w:cs="Arial"/>
                <w:color w:val="000000" w:themeColor="text1"/>
                <w:sz w:val="22"/>
                <w:szCs w:val="22"/>
              </w:rPr>
              <w:t xml:space="preserve"> Men and Little Miss books</w:t>
            </w:r>
            <w:r w:rsidR="00C46132">
              <w:rPr>
                <w:rFonts w:cs="Arial"/>
                <w:color w:val="000000" w:themeColor="text1"/>
                <w:sz w:val="22"/>
                <w:szCs w:val="22"/>
              </w:rPr>
              <w:t xml:space="preserve"> in English and in Guided Reading</w:t>
            </w:r>
            <w:r>
              <w:rPr>
                <w:rFonts w:cs="Arial"/>
                <w:color w:val="000000" w:themeColor="text1"/>
                <w:sz w:val="22"/>
                <w:szCs w:val="22"/>
              </w:rPr>
              <w:t xml:space="preserve">.  We will be talking about the different characters using the clues from the texts.  We will be looking at what happens in the stories and how the characters sometimes change due to events that happen.  We will also be exploring the words, phrases and techniques that the author uses.  We will then create our own </w:t>
            </w:r>
            <w:proofErr w:type="spellStart"/>
            <w:r>
              <w:rPr>
                <w:rFonts w:cs="Arial"/>
                <w:color w:val="000000" w:themeColor="text1"/>
                <w:sz w:val="22"/>
                <w:szCs w:val="22"/>
              </w:rPr>
              <w:t>Mr</w:t>
            </w:r>
            <w:proofErr w:type="spellEnd"/>
            <w:r>
              <w:rPr>
                <w:rFonts w:cs="Arial"/>
                <w:color w:val="000000" w:themeColor="text1"/>
                <w:sz w:val="22"/>
                <w:szCs w:val="22"/>
              </w:rPr>
              <w:t xml:space="preserve"> Men or Little Miss characters and write stories about them in the style of Roger Hargreaves, focusing on the following:</w:t>
            </w:r>
          </w:p>
          <w:p w:rsidR="00DB7F14" w:rsidRDefault="00466627">
            <w:pPr>
              <w:pStyle w:val="ListParagraph"/>
              <w:numPr>
                <w:ilvl w:val="0"/>
                <w:numId w:val="2"/>
              </w:numPr>
              <w:rPr>
                <w:rFonts w:cs="Arial"/>
                <w:color w:val="000000" w:themeColor="text1"/>
                <w:sz w:val="22"/>
                <w:szCs w:val="22"/>
              </w:rPr>
            </w:pPr>
            <w:r>
              <w:rPr>
                <w:rFonts w:cs="Arial"/>
                <w:color w:val="000000" w:themeColor="text1"/>
                <w:sz w:val="22"/>
                <w:szCs w:val="22"/>
              </w:rPr>
              <w:t>Using adjectives, verbs and adverbs to describe the characters</w:t>
            </w:r>
          </w:p>
          <w:p w:rsidR="00DB7F14" w:rsidRDefault="00466627">
            <w:pPr>
              <w:pStyle w:val="ListParagraph"/>
              <w:numPr>
                <w:ilvl w:val="0"/>
                <w:numId w:val="2"/>
              </w:numPr>
              <w:rPr>
                <w:rFonts w:cs="Arial"/>
                <w:color w:val="000000" w:themeColor="text1"/>
                <w:sz w:val="22"/>
                <w:szCs w:val="22"/>
              </w:rPr>
            </w:pPr>
            <w:r>
              <w:rPr>
                <w:rFonts w:cs="Arial"/>
                <w:color w:val="000000" w:themeColor="text1"/>
                <w:sz w:val="22"/>
                <w:szCs w:val="22"/>
              </w:rPr>
              <w:t xml:space="preserve">Identifying and writing questions, statements, commands </w:t>
            </w:r>
            <w:r w:rsidR="00C46132">
              <w:rPr>
                <w:rFonts w:cs="Arial"/>
                <w:color w:val="000000" w:themeColor="text1"/>
                <w:sz w:val="22"/>
                <w:szCs w:val="22"/>
              </w:rPr>
              <w:t>and exclamations</w:t>
            </w:r>
          </w:p>
          <w:p w:rsidR="00DB7F14" w:rsidRDefault="00466627">
            <w:pPr>
              <w:pStyle w:val="ListParagraph"/>
              <w:numPr>
                <w:ilvl w:val="0"/>
                <w:numId w:val="2"/>
              </w:numPr>
              <w:rPr>
                <w:rFonts w:cs="Arial"/>
                <w:color w:val="000000" w:themeColor="text1"/>
                <w:sz w:val="22"/>
                <w:szCs w:val="22"/>
              </w:rPr>
            </w:pPr>
            <w:r>
              <w:rPr>
                <w:rFonts w:cs="Arial"/>
                <w:color w:val="000000" w:themeColor="text1"/>
                <w:sz w:val="22"/>
                <w:szCs w:val="22"/>
              </w:rPr>
              <w:t>Using conjunctions (or/and/but/so/when/if/because/that) to join sentences together</w:t>
            </w:r>
          </w:p>
          <w:p w:rsidR="00DB7F14" w:rsidRDefault="00466627">
            <w:pPr>
              <w:pStyle w:val="ListParagraph"/>
              <w:numPr>
                <w:ilvl w:val="0"/>
                <w:numId w:val="2"/>
              </w:numPr>
              <w:rPr>
                <w:rFonts w:cs="Arial"/>
                <w:color w:val="000000" w:themeColor="text1"/>
                <w:sz w:val="22"/>
                <w:szCs w:val="22"/>
              </w:rPr>
            </w:pPr>
            <w:r>
              <w:rPr>
                <w:rFonts w:cs="Arial"/>
                <w:color w:val="000000" w:themeColor="text1"/>
                <w:sz w:val="22"/>
                <w:szCs w:val="22"/>
              </w:rPr>
              <w:t>Using –</w:t>
            </w:r>
            <w:proofErr w:type="spellStart"/>
            <w:r>
              <w:rPr>
                <w:rFonts w:cs="Arial"/>
                <w:color w:val="000000" w:themeColor="text1"/>
                <w:sz w:val="22"/>
                <w:szCs w:val="22"/>
              </w:rPr>
              <w:t>ly</w:t>
            </w:r>
            <w:proofErr w:type="spellEnd"/>
            <w:r>
              <w:rPr>
                <w:rFonts w:cs="Arial"/>
                <w:color w:val="000000" w:themeColor="text1"/>
                <w:sz w:val="22"/>
                <w:szCs w:val="22"/>
              </w:rPr>
              <w:t xml:space="preserve"> to turn adjectives into adverbs (e.g. slow/ slowly)</w:t>
            </w:r>
          </w:p>
          <w:p w:rsidR="00DB7F14" w:rsidRPr="00C46132" w:rsidRDefault="00C46132" w:rsidP="00C46132">
            <w:pPr>
              <w:rPr>
                <w:rFonts w:cs="Arial"/>
                <w:color w:val="000000" w:themeColor="text1"/>
                <w:sz w:val="22"/>
                <w:szCs w:val="22"/>
                <w:u w:val="single"/>
              </w:rPr>
            </w:pPr>
            <w:proofErr w:type="spellStart"/>
            <w:r w:rsidRPr="00C46132">
              <w:rPr>
                <w:rFonts w:cs="Arial"/>
                <w:color w:val="000000" w:themeColor="text1"/>
                <w:sz w:val="22"/>
                <w:szCs w:val="22"/>
                <w:u w:val="single"/>
              </w:rPr>
              <w:t>Mr</w:t>
            </w:r>
            <w:proofErr w:type="spellEnd"/>
            <w:r w:rsidRPr="00C46132">
              <w:rPr>
                <w:rFonts w:cs="Arial"/>
                <w:color w:val="000000" w:themeColor="text1"/>
                <w:sz w:val="22"/>
                <w:szCs w:val="22"/>
                <w:u w:val="single"/>
              </w:rPr>
              <w:t xml:space="preserve"> Men and Little Miss poems</w:t>
            </w:r>
          </w:p>
          <w:p w:rsidR="00C46132" w:rsidRDefault="00C46132" w:rsidP="00C46132">
            <w:pPr>
              <w:rPr>
                <w:rFonts w:cs="Arial"/>
                <w:color w:val="000000" w:themeColor="text1"/>
                <w:sz w:val="22"/>
                <w:szCs w:val="22"/>
              </w:rPr>
            </w:pPr>
            <w:r>
              <w:rPr>
                <w:rFonts w:cs="Arial"/>
                <w:color w:val="000000" w:themeColor="text1"/>
                <w:sz w:val="22"/>
                <w:szCs w:val="22"/>
              </w:rPr>
              <w:t>We will be using our knowledge of the characters to write descriptive poems using a range of adjectives.</w:t>
            </w:r>
          </w:p>
          <w:p w:rsidR="000B12E1" w:rsidRPr="000B12E1" w:rsidRDefault="000B12E1" w:rsidP="00C46132">
            <w:pPr>
              <w:rPr>
                <w:rFonts w:cs="Arial"/>
                <w:color w:val="000000" w:themeColor="text1"/>
                <w:sz w:val="22"/>
                <w:szCs w:val="22"/>
                <w:u w:val="single"/>
              </w:rPr>
            </w:pPr>
            <w:r w:rsidRPr="000B12E1">
              <w:rPr>
                <w:rFonts w:cs="Arial"/>
                <w:color w:val="000000" w:themeColor="text1"/>
                <w:sz w:val="22"/>
                <w:szCs w:val="22"/>
                <w:u w:val="single"/>
              </w:rPr>
              <w:t xml:space="preserve">Read Write </w:t>
            </w:r>
            <w:proofErr w:type="spellStart"/>
            <w:r w:rsidRPr="000B12E1">
              <w:rPr>
                <w:rFonts w:cs="Arial"/>
                <w:color w:val="000000" w:themeColor="text1"/>
                <w:sz w:val="22"/>
                <w:szCs w:val="22"/>
                <w:u w:val="single"/>
              </w:rPr>
              <w:t>Inc</w:t>
            </w:r>
            <w:proofErr w:type="spellEnd"/>
          </w:p>
          <w:p w:rsidR="000B12E1" w:rsidRPr="00C46132" w:rsidRDefault="000B12E1" w:rsidP="00C46132">
            <w:pPr>
              <w:rPr>
                <w:rFonts w:cs="Arial"/>
                <w:color w:val="000000" w:themeColor="text1"/>
                <w:sz w:val="22"/>
                <w:szCs w:val="22"/>
              </w:rPr>
            </w:pPr>
            <w:r>
              <w:rPr>
                <w:rFonts w:cs="Arial"/>
                <w:color w:val="000000" w:themeColor="text1"/>
                <w:sz w:val="22"/>
                <w:szCs w:val="22"/>
              </w:rPr>
              <w:t xml:space="preserve">The children who are taking part in the RWI programme will be reading and writing about a range of books across the half term.  See the weekly ‘home’ books </w:t>
            </w:r>
            <w:r w:rsidR="0062037A">
              <w:rPr>
                <w:rFonts w:cs="Arial"/>
                <w:color w:val="000000" w:themeColor="text1"/>
                <w:sz w:val="22"/>
                <w:szCs w:val="22"/>
              </w:rPr>
              <w:t>for the green and red words to practise.</w:t>
            </w:r>
          </w:p>
        </w:tc>
        <w:tc>
          <w:tcPr>
            <w:tcW w:w="5045" w:type="dxa"/>
            <w:gridSpan w:val="3"/>
          </w:tcPr>
          <w:p w:rsidR="00DB7F14" w:rsidRDefault="00466627">
            <w:pPr>
              <w:rPr>
                <w:sz w:val="22"/>
              </w:rPr>
            </w:pPr>
            <w:r>
              <w:rPr>
                <w:sz w:val="22"/>
                <w:u w:val="single"/>
              </w:rPr>
              <w:t>Number and place value</w:t>
            </w:r>
            <w:r>
              <w:rPr>
                <w:sz w:val="22"/>
              </w:rPr>
              <w:t xml:space="preserve"> – counting in steps of 2,</w:t>
            </w:r>
            <w:r w:rsidR="00C46132">
              <w:rPr>
                <w:sz w:val="22"/>
              </w:rPr>
              <w:t xml:space="preserve"> 3, 5 and 10</w:t>
            </w:r>
          </w:p>
          <w:p w:rsidR="00DB7F14" w:rsidRDefault="00466627">
            <w:pPr>
              <w:rPr>
                <w:sz w:val="22"/>
              </w:rPr>
            </w:pPr>
            <w:r>
              <w:rPr>
                <w:sz w:val="22"/>
                <w:u w:val="single"/>
              </w:rPr>
              <w:t>Addition and subtraction</w:t>
            </w:r>
            <w:r>
              <w:rPr>
                <w:sz w:val="22"/>
              </w:rPr>
              <w:t xml:space="preserve"> – number facts to 20; inverse operation; problem solving; adding three one-digit numbers; adding two-digit numbers and ones; adding two-digit numbers and tens; doubles and halves of numbers up to 20.</w:t>
            </w:r>
          </w:p>
          <w:p w:rsidR="00DB7F14" w:rsidRDefault="00466627">
            <w:pPr>
              <w:rPr>
                <w:sz w:val="22"/>
              </w:rPr>
            </w:pPr>
            <w:r>
              <w:rPr>
                <w:sz w:val="22"/>
                <w:u w:val="single"/>
              </w:rPr>
              <w:t>Multiplication and division</w:t>
            </w:r>
            <w:r>
              <w:rPr>
                <w:sz w:val="22"/>
              </w:rPr>
              <w:t xml:space="preserve"> – solving problems using multiplication facts for the 2, 5 and 10 multiplication tables; use the multiplication (x) and equals (=) signs; show that multiplication of two numbers can be done in any order (commutative); solve problems involving multiplication and division, using materials, arrays, repeated addition and mental methods.</w:t>
            </w:r>
          </w:p>
          <w:p w:rsidR="00DB7F14" w:rsidRDefault="00DB7F14">
            <w:pPr>
              <w:rPr>
                <w:sz w:val="22"/>
              </w:rPr>
            </w:pPr>
          </w:p>
        </w:tc>
      </w:tr>
      <w:tr w:rsidR="00DB7F14" w:rsidTr="00C46132">
        <w:trPr>
          <w:trHeight w:val="570"/>
        </w:trPr>
        <w:tc>
          <w:tcPr>
            <w:tcW w:w="3818" w:type="dxa"/>
            <w:gridSpan w:val="2"/>
            <w:shd w:val="pct12" w:color="auto" w:fill="auto"/>
            <w:vAlign w:val="center"/>
          </w:tcPr>
          <w:p w:rsidR="00DB7F14" w:rsidRDefault="00C46132">
            <w:pPr>
              <w:jc w:val="center"/>
              <w:rPr>
                <w:b/>
              </w:rPr>
            </w:pPr>
            <w:r>
              <w:rPr>
                <w:b/>
              </w:rPr>
              <w:t>Science</w:t>
            </w:r>
          </w:p>
        </w:tc>
        <w:tc>
          <w:tcPr>
            <w:tcW w:w="7792" w:type="dxa"/>
            <w:gridSpan w:val="3"/>
            <w:vMerge w:val="restart"/>
            <w:shd w:val="pct12" w:color="auto" w:fill="auto"/>
          </w:tcPr>
          <w:p w:rsidR="00DB7F14" w:rsidRDefault="00466627">
            <w:pPr>
              <w:jc w:val="center"/>
              <w:rPr>
                <w:rFonts w:cs="Arial"/>
                <w:b/>
                <w:sz w:val="28"/>
              </w:rPr>
            </w:pPr>
            <w:r>
              <w:rPr>
                <w:rFonts w:cs="Arial"/>
                <w:b/>
                <w:sz w:val="28"/>
              </w:rPr>
              <w:t xml:space="preserve">Year 2 </w:t>
            </w:r>
            <w:r w:rsidR="00E37D9C">
              <w:rPr>
                <w:rFonts w:cs="Arial"/>
                <w:b/>
                <w:sz w:val="28"/>
              </w:rPr>
              <w:t>Sycamore</w:t>
            </w:r>
            <w:r>
              <w:rPr>
                <w:rFonts w:cs="Arial"/>
                <w:b/>
                <w:sz w:val="28"/>
              </w:rPr>
              <w:t xml:space="preserve"> Class Topic Web </w:t>
            </w:r>
          </w:p>
          <w:p w:rsidR="00DB7F14" w:rsidRDefault="00E37D9C" w:rsidP="00E37D9C">
            <w:pPr>
              <w:jc w:val="center"/>
              <w:rPr>
                <w:rFonts w:cs="Arial"/>
                <w:b/>
                <w:sz w:val="28"/>
              </w:rPr>
            </w:pPr>
            <w:r>
              <w:rPr>
                <w:rFonts w:cs="Arial"/>
                <w:b/>
                <w:sz w:val="28"/>
              </w:rPr>
              <w:t>Spring 1 2018</w:t>
            </w:r>
          </w:p>
        </w:tc>
        <w:tc>
          <w:tcPr>
            <w:tcW w:w="3778" w:type="dxa"/>
            <w:gridSpan w:val="2"/>
            <w:shd w:val="pct12" w:color="auto" w:fill="auto"/>
            <w:vAlign w:val="center"/>
          </w:tcPr>
          <w:p w:rsidR="00DB7F14" w:rsidRDefault="00466627">
            <w:pPr>
              <w:jc w:val="center"/>
              <w:rPr>
                <w:b/>
              </w:rPr>
            </w:pPr>
            <w:r>
              <w:rPr>
                <w:b/>
              </w:rPr>
              <w:t>Art and Design</w:t>
            </w:r>
          </w:p>
        </w:tc>
      </w:tr>
      <w:tr w:rsidR="00DB7F14" w:rsidTr="00C46132">
        <w:trPr>
          <w:trHeight w:val="293"/>
        </w:trPr>
        <w:tc>
          <w:tcPr>
            <w:tcW w:w="3818" w:type="dxa"/>
            <w:gridSpan w:val="2"/>
            <w:vMerge w:val="restart"/>
          </w:tcPr>
          <w:p w:rsidR="00C46132" w:rsidRDefault="00C46132" w:rsidP="00C46132">
            <w:pPr>
              <w:rPr>
                <w:sz w:val="20"/>
                <w:u w:val="single"/>
              </w:rPr>
            </w:pPr>
            <w:r>
              <w:rPr>
                <w:sz w:val="20"/>
                <w:u w:val="single"/>
              </w:rPr>
              <w:t>Animals, including humans</w:t>
            </w:r>
          </w:p>
          <w:p w:rsidR="00DB7F14" w:rsidRDefault="00C46132" w:rsidP="00C46132">
            <w:r>
              <w:rPr>
                <w:sz w:val="20"/>
              </w:rPr>
              <w:t>We will be finding out about and describing the basic needs of animals, including humans, for survival (water, food and air), describing the importance for humans of exercise, eating the right amounts of different types of food, and hygiene, and noticing that animals, including humans, have offspring which grow into adults.  We will also be learning about food chains.</w:t>
            </w:r>
          </w:p>
        </w:tc>
        <w:tc>
          <w:tcPr>
            <w:tcW w:w="7792" w:type="dxa"/>
            <w:gridSpan w:val="3"/>
            <w:vMerge/>
            <w:tcBorders>
              <w:bottom w:val="single" w:sz="4" w:space="0" w:color="auto"/>
            </w:tcBorders>
            <w:shd w:val="pct12" w:color="auto" w:fill="auto"/>
          </w:tcPr>
          <w:p w:rsidR="00DB7F14" w:rsidRDefault="00DB7F14"/>
        </w:tc>
        <w:tc>
          <w:tcPr>
            <w:tcW w:w="3778" w:type="dxa"/>
            <w:gridSpan w:val="2"/>
            <w:vMerge w:val="restart"/>
          </w:tcPr>
          <w:p w:rsidR="00336990" w:rsidRPr="00336990" w:rsidRDefault="00336990">
            <w:pPr>
              <w:rPr>
                <w:sz w:val="22"/>
                <w:u w:val="single"/>
              </w:rPr>
            </w:pPr>
            <w:r w:rsidRPr="00336990">
              <w:rPr>
                <w:sz w:val="22"/>
                <w:u w:val="single"/>
              </w:rPr>
              <w:t>Moving pictures</w:t>
            </w:r>
          </w:p>
          <w:p w:rsidR="00DB7F14" w:rsidRDefault="00466627">
            <w:pPr>
              <w:rPr>
                <w:sz w:val="22"/>
              </w:rPr>
            </w:pPr>
            <w:r>
              <w:rPr>
                <w:sz w:val="22"/>
              </w:rPr>
              <w:t xml:space="preserve">We will be evaluating and analysing moving picture books with slides, levers, dials etc… before designing and making our own moving pictures based on the </w:t>
            </w:r>
            <w:proofErr w:type="spellStart"/>
            <w:r>
              <w:rPr>
                <w:sz w:val="22"/>
              </w:rPr>
              <w:t>Mr</w:t>
            </w:r>
            <w:proofErr w:type="spellEnd"/>
            <w:r>
              <w:rPr>
                <w:sz w:val="22"/>
              </w:rPr>
              <w:t xml:space="preserve"> Men and Little Miss characters.</w:t>
            </w:r>
          </w:p>
        </w:tc>
      </w:tr>
      <w:tr w:rsidR="00DB7F14" w:rsidTr="00C46132">
        <w:trPr>
          <w:trHeight w:val="2498"/>
        </w:trPr>
        <w:tc>
          <w:tcPr>
            <w:tcW w:w="3818" w:type="dxa"/>
            <w:gridSpan w:val="2"/>
            <w:vMerge/>
            <w:tcBorders>
              <w:bottom w:val="single" w:sz="4" w:space="0" w:color="auto"/>
            </w:tcBorders>
          </w:tcPr>
          <w:p w:rsidR="00DB7F14" w:rsidRDefault="00DB7F14">
            <w:pPr>
              <w:rPr>
                <w:sz w:val="22"/>
              </w:rPr>
            </w:pPr>
          </w:p>
        </w:tc>
        <w:tc>
          <w:tcPr>
            <w:tcW w:w="7792" w:type="dxa"/>
            <w:gridSpan w:val="3"/>
            <w:tcBorders>
              <w:bottom w:val="single" w:sz="4" w:space="0" w:color="auto"/>
            </w:tcBorders>
          </w:tcPr>
          <w:p w:rsidR="00DB7F14" w:rsidRDefault="00466627">
            <w:pPr>
              <w:jc w:val="center"/>
              <w:rPr>
                <w:rFonts w:ascii="Ravie" w:hAnsi="Ravie" w:cs="Arial"/>
                <w:b/>
                <w:sz w:val="14"/>
              </w:rPr>
            </w:pPr>
            <w:r>
              <w:rPr>
                <w:noProof/>
                <w:color w:val="0000FF"/>
                <w:lang w:val="en-GB" w:eastAsia="en-GB"/>
              </w:rPr>
              <w:drawing>
                <wp:anchor distT="0" distB="0" distL="114300" distR="114300" simplePos="0" relativeHeight="251672576" behindDoc="0" locked="0" layoutInCell="1" allowOverlap="1">
                  <wp:simplePos x="0" y="0"/>
                  <wp:positionH relativeFrom="column">
                    <wp:posOffset>1640071</wp:posOffset>
                  </wp:positionH>
                  <wp:positionV relativeFrom="paragraph">
                    <wp:posOffset>34290</wp:posOffset>
                  </wp:positionV>
                  <wp:extent cx="1661020" cy="1492525"/>
                  <wp:effectExtent l="0" t="0" r="0" b="0"/>
                  <wp:wrapNone/>
                  <wp:docPr id="1" name="irc_mi" descr="Image result for mr men and little mi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r men and little mis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020" cy="149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F14" w:rsidRDefault="00DB7F14">
            <w:pPr>
              <w:jc w:val="center"/>
              <w:rPr>
                <w:rFonts w:ascii="Ravie" w:hAnsi="Ravie" w:cs="Arial"/>
                <w:b/>
                <w:sz w:val="16"/>
              </w:rPr>
            </w:pPr>
          </w:p>
          <w:p w:rsidR="00DB7F14" w:rsidRDefault="00466627">
            <w:pPr>
              <w:rPr>
                <w:rFonts w:ascii="Arial" w:hAnsi="Arial" w:cs="Arial"/>
                <w:sz w:val="28"/>
              </w:rPr>
            </w:pPr>
            <w:r>
              <w:rPr>
                <w:rFonts w:ascii="Arial" w:hAnsi="Arial" w:cs="Arial"/>
                <w:sz w:val="28"/>
              </w:rPr>
              <w:t xml:space="preserve">              </w:t>
            </w:r>
          </w:p>
          <w:p w:rsidR="00DB7F14" w:rsidRDefault="00466627">
            <w:pPr>
              <w:numPr>
                <w:ilvl w:val="0"/>
                <w:numId w:val="1"/>
              </w:numPr>
              <w:ind w:left="0"/>
              <w:rPr>
                <w:rFonts w:ascii="Arial" w:eastAsia="Times New Roman" w:hAnsi="Arial" w:cs="Arial"/>
                <w:color w:val="222222"/>
                <w:sz w:val="27"/>
                <w:szCs w:val="27"/>
                <w:lang w:val="en-GB" w:eastAsia="en-GB"/>
              </w:rPr>
            </w:pPr>
            <w:r>
              <w:rPr>
                <w:rFonts w:ascii="Arial" w:hAnsi="Arial" w:cs="Arial"/>
                <w:sz w:val="28"/>
              </w:rPr>
              <w:t xml:space="preserve">                  </w:t>
            </w:r>
            <w:r>
              <w:rPr>
                <w:noProof/>
                <w:lang w:val="en-GB" w:eastAsia="en-GB"/>
              </w:rPr>
              <w:t xml:space="preserve"> </w:t>
            </w:r>
            <w:r>
              <w:rPr>
                <w:noProof/>
                <w:lang w:val="en-GB" w:eastAsia="en-GB"/>
              </w:rPr>
              <w:drawing>
                <wp:anchor distT="36576" distB="36576" distL="36576" distR="36576" simplePos="0" relativeHeight="251671552" behindDoc="0" locked="0" layoutInCell="1" allowOverlap="1">
                  <wp:simplePos x="0" y="0"/>
                  <wp:positionH relativeFrom="column">
                    <wp:posOffset>48754665</wp:posOffset>
                  </wp:positionH>
                  <wp:positionV relativeFrom="paragraph">
                    <wp:posOffset>1691640</wp:posOffset>
                  </wp:positionV>
                  <wp:extent cx="4162425" cy="3843020"/>
                  <wp:effectExtent l="0" t="0" r="9525" b="5080"/>
                  <wp:wrapNone/>
                  <wp:docPr id="10" name="Picture 10" descr="green-australia-map-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australia-map-hi[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3843020"/>
                          </a:xfrm>
                          <a:prstGeom prst="rect">
                            <a:avLst/>
                          </a:prstGeom>
                          <a:noFill/>
                          <a:ln>
                            <a:noFill/>
                          </a:ln>
                          <a:effectLst/>
                        </pic:spPr>
                      </pic:pic>
                    </a:graphicData>
                  </a:graphic>
                </wp:anchor>
              </w:drawing>
            </w:r>
            <w:r>
              <w:rPr>
                <w:rFonts w:ascii="Arial" w:hAnsi="Arial" w:cs="Arial"/>
                <w:sz w:val="28"/>
              </w:rPr>
              <w:t xml:space="preserve">  </w:t>
            </w:r>
          </w:p>
          <w:p w:rsidR="00DB7F14" w:rsidRDefault="00466627">
            <w:r>
              <w:rPr>
                <w:noProof/>
                <w:color w:val="0000FF"/>
                <w:lang w:val="en-GB" w:eastAsia="en-GB"/>
              </w:rPr>
              <w:t xml:space="preserve"> </w:t>
            </w:r>
          </w:p>
        </w:tc>
        <w:tc>
          <w:tcPr>
            <w:tcW w:w="3778" w:type="dxa"/>
            <w:gridSpan w:val="2"/>
            <w:vMerge/>
            <w:tcBorders>
              <w:bottom w:val="single" w:sz="4" w:space="0" w:color="auto"/>
            </w:tcBorders>
          </w:tcPr>
          <w:p w:rsidR="00DB7F14" w:rsidRDefault="00DB7F14">
            <w:pPr>
              <w:rPr>
                <w:sz w:val="22"/>
              </w:rPr>
            </w:pPr>
          </w:p>
        </w:tc>
      </w:tr>
      <w:tr w:rsidR="00C46132" w:rsidTr="0062037A">
        <w:trPr>
          <w:trHeight w:val="572"/>
        </w:trPr>
        <w:tc>
          <w:tcPr>
            <w:tcW w:w="2972" w:type="dxa"/>
            <w:shd w:val="pct12" w:color="auto" w:fill="auto"/>
            <w:vAlign w:val="center"/>
          </w:tcPr>
          <w:p w:rsidR="00C46132" w:rsidRDefault="00C46132" w:rsidP="00C46132">
            <w:pPr>
              <w:jc w:val="center"/>
              <w:rPr>
                <w:b/>
              </w:rPr>
            </w:pPr>
            <w:r>
              <w:rPr>
                <w:b/>
              </w:rPr>
              <w:t xml:space="preserve">PSHE </w:t>
            </w:r>
          </w:p>
        </w:tc>
        <w:tc>
          <w:tcPr>
            <w:tcW w:w="2126" w:type="dxa"/>
            <w:gridSpan w:val="2"/>
            <w:shd w:val="pct12" w:color="auto" w:fill="auto"/>
            <w:vAlign w:val="center"/>
          </w:tcPr>
          <w:p w:rsidR="00C46132" w:rsidRDefault="00C46132">
            <w:pPr>
              <w:jc w:val="center"/>
              <w:rPr>
                <w:b/>
              </w:rPr>
            </w:pPr>
            <w:r>
              <w:rPr>
                <w:b/>
              </w:rPr>
              <w:t>PE</w:t>
            </w:r>
          </w:p>
        </w:tc>
        <w:tc>
          <w:tcPr>
            <w:tcW w:w="5245" w:type="dxa"/>
            <w:shd w:val="pct12" w:color="auto" w:fill="auto"/>
            <w:vAlign w:val="center"/>
          </w:tcPr>
          <w:p w:rsidR="00C46132" w:rsidRDefault="00C46132" w:rsidP="00C46132">
            <w:pPr>
              <w:jc w:val="center"/>
              <w:rPr>
                <w:b/>
              </w:rPr>
            </w:pPr>
            <w:r>
              <w:rPr>
                <w:b/>
              </w:rPr>
              <w:t>RE</w:t>
            </w:r>
          </w:p>
        </w:tc>
        <w:tc>
          <w:tcPr>
            <w:tcW w:w="2126" w:type="dxa"/>
            <w:gridSpan w:val="2"/>
            <w:shd w:val="pct12" w:color="auto" w:fill="auto"/>
            <w:vAlign w:val="center"/>
          </w:tcPr>
          <w:p w:rsidR="00C46132" w:rsidRDefault="00C46132">
            <w:pPr>
              <w:jc w:val="center"/>
              <w:rPr>
                <w:b/>
              </w:rPr>
            </w:pPr>
            <w:r>
              <w:rPr>
                <w:b/>
              </w:rPr>
              <w:t>Computing</w:t>
            </w:r>
          </w:p>
        </w:tc>
        <w:tc>
          <w:tcPr>
            <w:tcW w:w="2919" w:type="dxa"/>
            <w:shd w:val="pct12" w:color="auto" w:fill="auto"/>
            <w:vAlign w:val="center"/>
          </w:tcPr>
          <w:p w:rsidR="00C46132" w:rsidRDefault="00C46132">
            <w:pPr>
              <w:jc w:val="center"/>
              <w:rPr>
                <w:b/>
              </w:rPr>
            </w:pPr>
            <w:r>
              <w:rPr>
                <w:b/>
              </w:rPr>
              <w:t>Music</w:t>
            </w:r>
          </w:p>
        </w:tc>
      </w:tr>
      <w:tr w:rsidR="00C46132" w:rsidTr="0062037A">
        <w:trPr>
          <w:trHeight w:val="1296"/>
        </w:trPr>
        <w:tc>
          <w:tcPr>
            <w:tcW w:w="2972" w:type="dxa"/>
          </w:tcPr>
          <w:p w:rsidR="00C46132" w:rsidRDefault="00C46132" w:rsidP="00C46132">
            <w:pPr>
              <w:rPr>
                <w:rFonts w:cs="Arial"/>
                <w:sz w:val="22"/>
                <w:u w:val="single"/>
              </w:rPr>
            </w:pPr>
            <w:r>
              <w:rPr>
                <w:rFonts w:cs="Arial"/>
                <w:sz w:val="22"/>
                <w:u w:val="single"/>
              </w:rPr>
              <w:t>Relationships</w:t>
            </w:r>
          </w:p>
          <w:p w:rsidR="00C46132" w:rsidRDefault="00C46132" w:rsidP="00C46132">
            <w:pPr>
              <w:rPr>
                <w:sz w:val="22"/>
              </w:rPr>
            </w:pPr>
            <w:r>
              <w:rPr>
                <w:rFonts w:cs="Arial"/>
                <w:sz w:val="22"/>
              </w:rPr>
              <w:t>We will be exploring, discussing and celebrating relationships.</w:t>
            </w:r>
          </w:p>
        </w:tc>
        <w:tc>
          <w:tcPr>
            <w:tcW w:w="2126" w:type="dxa"/>
            <w:gridSpan w:val="2"/>
          </w:tcPr>
          <w:p w:rsidR="00C46132" w:rsidRDefault="00C46132" w:rsidP="00C46132">
            <w:pPr>
              <w:rPr>
                <w:sz w:val="22"/>
              </w:rPr>
            </w:pPr>
            <w:r>
              <w:rPr>
                <w:sz w:val="22"/>
              </w:rPr>
              <w:t>We will continue to work with the sports coach.</w:t>
            </w:r>
          </w:p>
        </w:tc>
        <w:tc>
          <w:tcPr>
            <w:tcW w:w="5245" w:type="dxa"/>
          </w:tcPr>
          <w:p w:rsidR="00C46132" w:rsidRDefault="00C46132" w:rsidP="00C46132">
            <w:pPr>
              <w:rPr>
                <w:sz w:val="22"/>
                <w:u w:val="single"/>
              </w:rPr>
            </w:pPr>
            <w:r>
              <w:rPr>
                <w:sz w:val="22"/>
                <w:u w:val="single"/>
              </w:rPr>
              <w:t>Remembering / Passover</w:t>
            </w:r>
          </w:p>
          <w:p w:rsidR="00C46132" w:rsidRDefault="009533BD" w:rsidP="009533BD">
            <w:pPr>
              <w:rPr>
                <w:sz w:val="22"/>
              </w:rPr>
            </w:pPr>
            <w:r>
              <w:rPr>
                <w:sz w:val="22"/>
              </w:rPr>
              <w:t>We will be thinking about what and how we remember events, people and stories, before thinking about how Christians remember Jesus at Christmas and how Jewish people rememb</w:t>
            </w:r>
            <w:bookmarkStart w:id="0" w:name="_GoBack"/>
            <w:bookmarkEnd w:id="0"/>
            <w:r>
              <w:rPr>
                <w:sz w:val="22"/>
              </w:rPr>
              <w:t>er God’s help at Passover.</w:t>
            </w:r>
          </w:p>
        </w:tc>
        <w:tc>
          <w:tcPr>
            <w:tcW w:w="2126" w:type="dxa"/>
            <w:gridSpan w:val="2"/>
          </w:tcPr>
          <w:p w:rsidR="00C46132" w:rsidRDefault="00C46132">
            <w:pPr>
              <w:rPr>
                <w:sz w:val="22"/>
                <w:u w:val="single"/>
              </w:rPr>
            </w:pPr>
            <w:r>
              <w:rPr>
                <w:sz w:val="22"/>
                <w:u w:val="single"/>
              </w:rPr>
              <w:t>Coding</w:t>
            </w:r>
          </w:p>
          <w:p w:rsidR="00C46132" w:rsidRDefault="00C46132" w:rsidP="00C46132">
            <w:pPr>
              <w:rPr>
                <w:sz w:val="22"/>
              </w:rPr>
            </w:pPr>
            <w:r>
              <w:rPr>
                <w:sz w:val="22"/>
              </w:rPr>
              <w:t xml:space="preserve">We will be learning how to create simple computer programs using coding. </w:t>
            </w:r>
          </w:p>
        </w:tc>
        <w:tc>
          <w:tcPr>
            <w:tcW w:w="2919" w:type="dxa"/>
          </w:tcPr>
          <w:p w:rsidR="00C46132" w:rsidRDefault="00C46132">
            <w:pPr>
              <w:rPr>
                <w:sz w:val="22"/>
                <w:u w:val="single"/>
              </w:rPr>
            </w:pPr>
            <w:r>
              <w:rPr>
                <w:sz w:val="22"/>
                <w:u w:val="single"/>
              </w:rPr>
              <w:t>The long and the short of it</w:t>
            </w:r>
          </w:p>
          <w:p w:rsidR="00C46132" w:rsidRDefault="00C46132" w:rsidP="00C46132">
            <w:pPr>
              <w:rPr>
                <w:sz w:val="22"/>
              </w:rPr>
            </w:pPr>
            <w:r>
              <w:rPr>
                <w:sz w:val="22"/>
              </w:rPr>
              <w:t>We will be exploring duration in musical pieces and when using instruments.</w:t>
            </w:r>
          </w:p>
        </w:tc>
      </w:tr>
    </w:tbl>
    <w:p w:rsidR="00DB7F14" w:rsidRDefault="00DB7F14"/>
    <w:sectPr w:rsidR="00DB7F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92FBA"/>
    <w:multiLevelType w:val="hybridMultilevel"/>
    <w:tmpl w:val="6E867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14"/>
    <w:rsid w:val="000B12E1"/>
    <w:rsid w:val="0031298F"/>
    <w:rsid w:val="00336990"/>
    <w:rsid w:val="00466627"/>
    <w:rsid w:val="0062037A"/>
    <w:rsid w:val="009533BD"/>
    <w:rsid w:val="00C46132"/>
    <w:rsid w:val="00DB7F14"/>
    <w:rsid w:val="00E37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7ABE"/>
  <w15:docId w15:val="{442001A3-69F0-4734-A098-81EFE081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iS-OCT-YrRAhUKNVAKHVPhCkoQjRwIBw&amp;url=http://hask.tk/mr-men-and-little-miss/&amp;psig=AFQjCNH_amPiaHtks2DGzE8M8pCh5x1hcA&amp;ust=14826041687514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Rebecca Lennon</cp:lastModifiedBy>
  <cp:revision>8</cp:revision>
  <cp:lastPrinted>2018-01-05T07:52:00Z</cp:lastPrinted>
  <dcterms:created xsi:type="dcterms:W3CDTF">2017-12-30T14:11:00Z</dcterms:created>
  <dcterms:modified xsi:type="dcterms:W3CDTF">2018-01-05T11:53:00Z</dcterms:modified>
</cp:coreProperties>
</file>