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2268"/>
        <w:gridCol w:w="1701"/>
        <w:gridCol w:w="1984"/>
        <w:gridCol w:w="2552"/>
        <w:gridCol w:w="1304"/>
        <w:gridCol w:w="2919"/>
      </w:tblGrid>
      <w:tr w:rsidR="00DB7F14" w:rsidTr="00A12515">
        <w:trPr>
          <w:trHeight w:val="551"/>
        </w:trPr>
        <w:tc>
          <w:tcPr>
            <w:tcW w:w="6629" w:type="dxa"/>
            <w:gridSpan w:val="3"/>
            <w:shd w:val="pct10" w:color="auto" w:fill="auto"/>
            <w:vAlign w:val="center"/>
          </w:tcPr>
          <w:p w:rsidR="00DB7F14" w:rsidRDefault="00466627">
            <w:pPr>
              <w:jc w:val="center"/>
              <w:rPr>
                <w:b/>
              </w:rPr>
            </w:pPr>
            <w:r>
              <w:rPr>
                <w:b/>
              </w:rPr>
              <w:t>English</w:t>
            </w:r>
          </w:p>
        </w:tc>
        <w:tc>
          <w:tcPr>
            <w:tcW w:w="8759" w:type="dxa"/>
            <w:gridSpan w:val="4"/>
            <w:shd w:val="pct10" w:color="auto" w:fill="auto"/>
            <w:vAlign w:val="center"/>
          </w:tcPr>
          <w:p w:rsidR="00DB7F14" w:rsidRDefault="00466627">
            <w:pPr>
              <w:jc w:val="center"/>
              <w:rPr>
                <w:b/>
              </w:rPr>
            </w:pPr>
            <w:r>
              <w:rPr>
                <w:b/>
              </w:rPr>
              <w:t>Maths</w:t>
            </w:r>
          </w:p>
        </w:tc>
      </w:tr>
      <w:tr w:rsidR="00DB7F14" w:rsidTr="00A12515">
        <w:trPr>
          <w:trHeight w:val="2814"/>
        </w:trPr>
        <w:tc>
          <w:tcPr>
            <w:tcW w:w="6629" w:type="dxa"/>
            <w:gridSpan w:val="3"/>
            <w:tcBorders>
              <w:bottom w:val="single" w:sz="4" w:space="0" w:color="auto"/>
            </w:tcBorders>
          </w:tcPr>
          <w:p w:rsidR="000B12E1" w:rsidRPr="0022543F" w:rsidRDefault="000B12E1" w:rsidP="00C46132">
            <w:pPr>
              <w:rPr>
                <w:rFonts w:cs="Arial"/>
                <w:color w:val="000000" w:themeColor="text1"/>
                <w:sz w:val="28"/>
                <w:szCs w:val="28"/>
                <w:u w:val="single"/>
              </w:rPr>
            </w:pPr>
            <w:r w:rsidRPr="0022543F">
              <w:rPr>
                <w:rFonts w:cs="Arial"/>
                <w:color w:val="000000" w:themeColor="text1"/>
                <w:sz w:val="28"/>
                <w:szCs w:val="28"/>
                <w:u w:val="single"/>
              </w:rPr>
              <w:t xml:space="preserve">Read Write </w:t>
            </w:r>
            <w:proofErr w:type="spellStart"/>
            <w:r w:rsidRPr="0022543F">
              <w:rPr>
                <w:rFonts w:cs="Arial"/>
                <w:color w:val="000000" w:themeColor="text1"/>
                <w:sz w:val="28"/>
                <w:szCs w:val="28"/>
                <w:u w:val="single"/>
              </w:rPr>
              <w:t>Inc</w:t>
            </w:r>
            <w:proofErr w:type="spellEnd"/>
          </w:p>
          <w:p w:rsidR="000B12E1" w:rsidRPr="00C46132" w:rsidRDefault="0022543F" w:rsidP="00C46132">
            <w:pPr>
              <w:rPr>
                <w:rFonts w:cs="Arial"/>
                <w:color w:val="000000" w:themeColor="text1"/>
                <w:sz w:val="22"/>
                <w:szCs w:val="22"/>
              </w:rPr>
            </w:pPr>
            <w:r w:rsidRPr="0022543F">
              <w:rPr>
                <w:rFonts w:cs="Arial"/>
                <w:color w:val="000000" w:themeColor="text1"/>
                <w:sz w:val="28"/>
                <w:szCs w:val="28"/>
              </w:rPr>
              <w:t>All Year 1 children</w:t>
            </w:r>
            <w:r w:rsidR="000B12E1" w:rsidRPr="0022543F">
              <w:rPr>
                <w:rFonts w:cs="Arial"/>
                <w:color w:val="000000" w:themeColor="text1"/>
                <w:sz w:val="28"/>
                <w:szCs w:val="28"/>
              </w:rPr>
              <w:t xml:space="preserve"> are taking part in the RWI </w:t>
            </w:r>
            <w:proofErr w:type="spellStart"/>
            <w:r w:rsidR="000B12E1" w:rsidRPr="0022543F">
              <w:rPr>
                <w:rFonts w:cs="Arial"/>
                <w:color w:val="000000" w:themeColor="text1"/>
                <w:sz w:val="28"/>
                <w:szCs w:val="28"/>
              </w:rPr>
              <w:t>programme</w:t>
            </w:r>
            <w:proofErr w:type="spellEnd"/>
            <w:r w:rsidRPr="0022543F">
              <w:rPr>
                <w:rFonts w:cs="Arial"/>
                <w:color w:val="000000" w:themeColor="text1"/>
                <w:sz w:val="28"/>
                <w:szCs w:val="28"/>
              </w:rPr>
              <w:t xml:space="preserve"> and</w:t>
            </w:r>
            <w:r w:rsidR="000B12E1" w:rsidRPr="0022543F">
              <w:rPr>
                <w:rFonts w:cs="Arial"/>
                <w:color w:val="000000" w:themeColor="text1"/>
                <w:sz w:val="28"/>
                <w:szCs w:val="28"/>
              </w:rPr>
              <w:t xml:space="preserve"> will be reading and writing about a range of books across the half term.  See the weekly ‘home’ books </w:t>
            </w:r>
            <w:r w:rsidR="0062037A" w:rsidRPr="0022543F">
              <w:rPr>
                <w:rFonts w:cs="Arial"/>
                <w:color w:val="000000" w:themeColor="text1"/>
                <w:sz w:val="28"/>
                <w:szCs w:val="28"/>
              </w:rPr>
              <w:t xml:space="preserve">for the </w:t>
            </w:r>
            <w:r w:rsidR="00A85FCA">
              <w:rPr>
                <w:rFonts w:cs="Arial"/>
                <w:color w:val="000000" w:themeColor="text1"/>
                <w:sz w:val="28"/>
                <w:szCs w:val="28"/>
              </w:rPr>
              <w:t xml:space="preserve">green and red words to </w:t>
            </w:r>
            <w:proofErr w:type="spellStart"/>
            <w:r w:rsidR="00A12515">
              <w:rPr>
                <w:rFonts w:cs="Arial"/>
                <w:color w:val="000000" w:themeColor="text1"/>
                <w:sz w:val="28"/>
                <w:szCs w:val="28"/>
              </w:rPr>
              <w:t>practi</w:t>
            </w:r>
            <w:bookmarkStart w:id="0" w:name="_GoBack"/>
            <w:bookmarkEnd w:id="0"/>
            <w:r w:rsidR="00A12515">
              <w:rPr>
                <w:rFonts w:cs="Arial"/>
                <w:color w:val="000000" w:themeColor="text1"/>
                <w:sz w:val="28"/>
                <w:szCs w:val="28"/>
              </w:rPr>
              <w:t>se</w:t>
            </w:r>
            <w:proofErr w:type="spellEnd"/>
            <w:r w:rsidR="00A12515">
              <w:rPr>
                <w:rFonts w:cs="Arial"/>
                <w:color w:val="000000" w:themeColor="text1"/>
                <w:sz w:val="28"/>
                <w:szCs w:val="28"/>
              </w:rPr>
              <w:t>.</w:t>
            </w:r>
            <w:r>
              <w:rPr>
                <w:rFonts w:cs="Arial"/>
                <w:color w:val="000000" w:themeColor="text1"/>
                <w:sz w:val="22"/>
                <w:szCs w:val="22"/>
              </w:rPr>
              <w:t xml:space="preserve">  </w:t>
            </w:r>
          </w:p>
        </w:tc>
        <w:tc>
          <w:tcPr>
            <w:tcW w:w="8759" w:type="dxa"/>
            <w:gridSpan w:val="4"/>
          </w:tcPr>
          <w:p w:rsidR="0022543F" w:rsidRDefault="0022543F">
            <w:pPr>
              <w:rPr>
                <w:sz w:val="22"/>
              </w:rPr>
            </w:pPr>
            <w:proofErr w:type="spellStart"/>
            <w:r>
              <w:rPr>
                <w:sz w:val="22"/>
                <w:u w:val="single"/>
              </w:rPr>
              <w:t>Number:</w:t>
            </w:r>
            <w:r w:rsidR="00466627">
              <w:rPr>
                <w:sz w:val="22"/>
                <w:u w:val="single"/>
              </w:rPr>
              <w:t>Addition</w:t>
            </w:r>
            <w:proofErr w:type="spellEnd"/>
            <w:r w:rsidR="00466627">
              <w:rPr>
                <w:sz w:val="22"/>
                <w:u w:val="single"/>
              </w:rPr>
              <w:t xml:space="preserve"> and subtraction</w:t>
            </w:r>
            <w:r w:rsidR="00466627">
              <w:rPr>
                <w:sz w:val="22"/>
              </w:rPr>
              <w:t xml:space="preserve"> </w:t>
            </w:r>
          </w:p>
          <w:p w:rsidR="0022543F" w:rsidRDefault="0022543F">
            <w:pPr>
              <w:rPr>
                <w:sz w:val="22"/>
              </w:rPr>
            </w:pPr>
            <w:r>
              <w:rPr>
                <w:sz w:val="22"/>
              </w:rPr>
              <w:t xml:space="preserve">Represent and use number bonds and related subtraction </w:t>
            </w:r>
            <w:r w:rsidR="00A90456">
              <w:rPr>
                <w:sz w:val="22"/>
              </w:rPr>
              <w:t>f</w:t>
            </w:r>
            <w:r>
              <w:rPr>
                <w:sz w:val="22"/>
              </w:rPr>
              <w:t>acts to 20</w:t>
            </w:r>
          </w:p>
          <w:p w:rsidR="00DB7F14" w:rsidRDefault="0022543F" w:rsidP="0022543F">
            <w:pPr>
              <w:rPr>
                <w:sz w:val="22"/>
              </w:rPr>
            </w:pPr>
            <w:r>
              <w:rPr>
                <w:sz w:val="22"/>
              </w:rPr>
              <w:t>Read, write and interpret mathematical statements involving addition(+) and subtraction (-) and equals (=) signs</w:t>
            </w:r>
          </w:p>
          <w:p w:rsidR="0022543F" w:rsidRDefault="0022543F" w:rsidP="0022543F">
            <w:pPr>
              <w:rPr>
                <w:sz w:val="22"/>
              </w:rPr>
            </w:pPr>
            <w:r>
              <w:rPr>
                <w:sz w:val="22"/>
              </w:rPr>
              <w:t>Add and subtract one and two-digit numbers to 20, including zero</w:t>
            </w:r>
          </w:p>
          <w:p w:rsidR="0022543F" w:rsidRDefault="0022543F" w:rsidP="0022543F">
            <w:pPr>
              <w:rPr>
                <w:sz w:val="22"/>
              </w:rPr>
            </w:pPr>
            <w:r>
              <w:rPr>
                <w:sz w:val="22"/>
              </w:rPr>
              <w:t>Solve one step problems that involve addition and subtraction, using concrete objects and pictorial representations and ‘missing number’ problems.</w:t>
            </w:r>
          </w:p>
          <w:p w:rsidR="0022543F" w:rsidRDefault="0022543F" w:rsidP="0022543F">
            <w:pPr>
              <w:rPr>
                <w:sz w:val="22"/>
                <w:u w:val="single"/>
              </w:rPr>
            </w:pPr>
            <w:proofErr w:type="spellStart"/>
            <w:r w:rsidRPr="0022543F">
              <w:rPr>
                <w:sz w:val="22"/>
                <w:u w:val="single"/>
              </w:rPr>
              <w:t>Measurement:Length</w:t>
            </w:r>
            <w:proofErr w:type="spellEnd"/>
            <w:r w:rsidRPr="0022543F">
              <w:rPr>
                <w:sz w:val="22"/>
                <w:u w:val="single"/>
              </w:rPr>
              <w:t xml:space="preserve"> and Height</w:t>
            </w:r>
          </w:p>
          <w:p w:rsidR="0022543F" w:rsidRDefault="0022543F" w:rsidP="0022543F">
            <w:pPr>
              <w:rPr>
                <w:sz w:val="22"/>
              </w:rPr>
            </w:pPr>
            <w:r w:rsidRPr="0022543F">
              <w:rPr>
                <w:sz w:val="22"/>
              </w:rPr>
              <w:t xml:space="preserve">Measure and begin </w:t>
            </w:r>
            <w:r w:rsidR="00A85FCA">
              <w:rPr>
                <w:sz w:val="22"/>
              </w:rPr>
              <w:t>to record lengths</w:t>
            </w:r>
            <w:r>
              <w:rPr>
                <w:sz w:val="22"/>
              </w:rPr>
              <w:t xml:space="preserve"> and heights</w:t>
            </w:r>
          </w:p>
          <w:p w:rsidR="0022543F" w:rsidRPr="0022543F" w:rsidRDefault="0022543F" w:rsidP="0022543F">
            <w:pPr>
              <w:rPr>
                <w:sz w:val="22"/>
              </w:rPr>
            </w:pPr>
            <w:r>
              <w:rPr>
                <w:sz w:val="22"/>
              </w:rPr>
              <w:t>Compare, describe and solve problems for length;</w:t>
            </w:r>
            <w:r w:rsidR="00BC12E8">
              <w:rPr>
                <w:sz w:val="22"/>
              </w:rPr>
              <w:t xml:space="preserve"> lengths </w:t>
            </w:r>
            <w:r>
              <w:rPr>
                <w:sz w:val="22"/>
              </w:rPr>
              <w:t xml:space="preserve">and heights </w:t>
            </w:r>
            <w:proofErr w:type="spellStart"/>
            <w:r>
              <w:rPr>
                <w:sz w:val="22"/>
              </w:rPr>
              <w:t>eg</w:t>
            </w:r>
            <w:proofErr w:type="spellEnd"/>
            <w:r>
              <w:rPr>
                <w:sz w:val="22"/>
              </w:rPr>
              <w:t xml:space="preserve"> long/short, longer/shorter, tall/short, double/half</w:t>
            </w:r>
          </w:p>
        </w:tc>
      </w:tr>
      <w:tr w:rsidR="00DB7F14" w:rsidTr="00BC12E8">
        <w:trPr>
          <w:trHeight w:val="570"/>
        </w:trPr>
        <w:tc>
          <w:tcPr>
            <w:tcW w:w="4928" w:type="dxa"/>
            <w:gridSpan w:val="2"/>
            <w:shd w:val="pct12" w:color="auto" w:fill="auto"/>
            <w:vAlign w:val="center"/>
          </w:tcPr>
          <w:p w:rsidR="00DB7F14" w:rsidRDefault="00C46132">
            <w:pPr>
              <w:jc w:val="center"/>
              <w:rPr>
                <w:b/>
              </w:rPr>
            </w:pPr>
            <w:r>
              <w:rPr>
                <w:b/>
              </w:rPr>
              <w:t>Science</w:t>
            </w:r>
          </w:p>
        </w:tc>
        <w:tc>
          <w:tcPr>
            <w:tcW w:w="6237" w:type="dxa"/>
            <w:gridSpan w:val="3"/>
            <w:vMerge w:val="restart"/>
            <w:shd w:val="pct12" w:color="auto" w:fill="auto"/>
          </w:tcPr>
          <w:p w:rsidR="00DB7F14" w:rsidRDefault="00BC12E8">
            <w:pPr>
              <w:jc w:val="center"/>
              <w:rPr>
                <w:rFonts w:cs="Arial"/>
                <w:b/>
                <w:sz w:val="28"/>
              </w:rPr>
            </w:pPr>
            <w:r>
              <w:rPr>
                <w:rFonts w:cs="Arial"/>
                <w:b/>
                <w:sz w:val="28"/>
              </w:rPr>
              <w:t>Willow</w:t>
            </w:r>
            <w:r w:rsidR="00466627">
              <w:rPr>
                <w:rFonts w:cs="Arial"/>
                <w:b/>
                <w:sz w:val="28"/>
              </w:rPr>
              <w:t xml:space="preserve"> Class Topic Web </w:t>
            </w:r>
          </w:p>
          <w:p w:rsidR="00DB7F14" w:rsidRDefault="00E37D9C" w:rsidP="00E37D9C">
            <w:pPr>
              <w:jc w:val="center"/>
              <w:rPr>
                <w:rFonts w:cs="Arial"/>
                <w:b/>
                <w:sz w:val="28"/>
              </w:rPr>
            </w:pPr>
            <w:r>
              <w:rPr>
                <w:rFonts w:cs="Arial"/>
                <w:b/>
                <w:sz w:val="28"/>
              </w:rPr>
              <w:t>Spring 1 2018</w:t>
            </w:r>
          </w:p>
        </w:tc>
        <w:tc>
          <w:tcPr>
            <w:tcW w:w="4223" w:type="dxa"/>
            <w:gridSpan w:val="2"/>
            <w:shd w:val="pct12" w:color="auto" w:fill="auto"/>
            <w:vAlign w:val="center"/>
          </w:tcPr>
          <w:p w:rsidR="00DB7F14" w:rsidRDefault="00466627">
            <w:pPr>
              <w:jc w:val="center"/>
              <w:rPr>
                <w:b/>
              </w:rPr>
            </w:pPr>
            <w:r>
              <w:rPr>
                <w:b/>
              </w:rPr>
              <w:t>Art and Design</w:t>
            </w:r>
          </w:p>
        </w:tc>
      </w:tr>
      <w:tr w:rsidR="00A12515" w:rsidTr="00BC12E8">
        <w:trPr>
          <w:trHeight w:val="293"/>
        </w:trPr>
        <w:tc>
          <w:tcPr>
            <w:tcW w:w="4928" w:type="dxa"/>
            <w:gridSpan w:val="2"/>
            <w:vMerge w:val="restart"/>
          </w:tcPr>
          <w:p w:rsidR="00A12515" w:rsidRPr="006227A5" w:rsidRDefault="00A12515" w:rsidP="009705E9">
            <w:pPr>
              <w:rPr>
                <w:rFonts w:ascii="Comic Sans MS" w:hAnsi="Comic Sans MS"/>
              </w:rPr>
            </w:pPr>
            <w:r w:rsidRPr="006227A5">
              <w:rPr>
                <w:rFonts w:ascii="Comic Sans MS" w:hAnsi="Comic Sans MS"/>
              </w:rPr>
              <w:t>Finding facts about the Sun</w:t>
            </w:r>
          </w:p>
          <w:p w:rsidR="00A12515" w:rsidRPr="006227A5" w:rsidRDefault="00A12515" w:rsidP="009705E9">
            <w:pPr>
              <w:rPr>
                <w:rFonts w:ascii="Comic Sans MS" w:hAnsi="Comic Sans MS"/>
              </w:rPr>
            </w:pPr>
            <w:r w:rsidRPr="006227A5">
              <w:rPr>
                <w:rFonts w:ascii="Comic Sans MS" w:hAnsi="Comic Sans MS"/>
              </w:rPr>
              <w:t>Sun Safety - designing a Poster</w:t>
            </w:r>
          </w:p>
          <w:p w:rsidR="00A12515" w:rsidRPr="006227A5" w:rsidRDefault="00A12515" w:rsidP="009705E9">
            <w:pPr>
              <w:rPr>
                <w:rFonts w:ascii="Comic Sans MS" w:hAnsi="Comic Sans MS"/>
              </w:rPr>
            </w:pPr>
            <w:r w:rsidRPr="006227A5">
              <w:rPr>
                <w:rFonts w:ascii="Comic Sans MS" w:hAnsi="Comic Sans MS"/>
              </w:rPr>
              <w:t>Exploring shadows and how they change</w:t>
            </w:r>
          </w:p>
          <w:p w:rsidR="00A12515" w:rsidRPr="006227A5" w:rsidRDefault="00A12515" w:rsidP="009705E9">
            <w:pPr>
              <w:rPr>
                <w:rFonts w:ascii="Comic Sans MS" w:hAnsi="Comic Sans MS"/>
              </w:rPr>
            </w:pPr>
            <w:r w:rsidRPr="006227A5">
              <w:rPr>
                <w:rFonts w:ascii="Comic Sans MS" w:hAnsi="Comic Sans MS"/>
              </w:rPr>
              <w:t>Naming and describing the seasons</w:t>
            </w:r>
          </w:p>
          <w:p w:rsidR="00A12515" w:rsidRDefault="00A12515" w:rsidP="009705E9">
            <w:r w:rsidRPr="006227A5">
              <w:rPr>
                <w:rFonts w:ascii="Comic Sans MS" w:hAnsi="Comic Sans MS"/>
              </w:rPr>
              <w:t>Describing the weather – Making a weather chart</w:t>
            </w:r>
          </w:p>
        </w:tc>
        <w:tc>
          <w:tcPr>
            <w:tcW w:w="6237" w:type="dxa"/>
            <w:gridSpan w:val="3"/>
            <w:vMerge/>
            <w:tcBorders>
              <w:bottom w:val="single" w:sz="4" w:space="0" w:color="auto"/>
            </w:tcBorders>
            <w:shd w:val="pct12" w:color="auto" w:fill="auto"/>
          </w:tcPr>
          <w:p w:rsidR="00A12515" w:rsidRDefault="00A12515"/>
        </w:tc>
        <w:tc>
          <w:tcPr>
            <w:tcW w:w="4223" w:type="dxa"/>
            <w:gridSpan w:val="2"/>
            <w:vMerge w:val="restart"/>
          </w:tcPr>
          <w:p w:rsidR="00A12515" w:rsidRPr="0022543F" w:rsidRDefault="00A12515">
            <w:pPr>
              <w:rPr>
                <w:sz w:val="22"/>
              </w:rPr>
            </w:pPr>
            <w:r>
              <w:rPr>
                <w:sz w:val="22"/>
              </w:rPr>
              <w:t>We will be</w:t>
            </w:r>
            <w:r w:rsidR="00A85FCA">
              <w:rPr>
                <w:sz w:val="22"/>
              </w:rPr>
              <w:t xml:space="preserve"> using a range of </w:t>
            </w:r>
            <w:r>
              <w:rPr>
                <w:sz w:val="22"/>
              </w:rPr>
              <w:t>media to create artwork based around our weather and seasons topic includin</w:t>
            </w:r>
            <w:r w:rsidR="00A85FCA">
              <w:rPr>
                <w:sz w:val="22"/>
              </w:rPr>
              <w:t>g Northern Lights collages and Four</w:t>
            </w:r>
            <w:r>
              <w:rPr>
                <w:sz w:val="22"/>
              </w:rPr>
              <w:t xml:space="preserve"> Seasons Tree 3D Books.</w:t>
            </w:r>
          </w:p>
        </w:tc>
      </w:tr>
      <w:tr w:rsidR="00A12515" w:rsidTr="00BC12E8">
        <w:trPr>
          <w:trHeight w:val="2304"/>
        </w:trPr>
        <w:tc>
          <w:tcPr>
            <w:tcW w:w="4928" w:type="dxa"/>
            <w:gridSpan w:val="2"/>
            <w:vMerge/>
            <w:tcBorders>
              <w:bottom w:val="single" w:sz="4" w:space="0" w:color="auto"/>
            </w:tcBorders>
          </w:tcPr>
          <w:p w:rsidR="00A12515" w:rsidRDefault="00A12515">
            <w:pPr>
              <w:rPr>
                <w:sz w:val="22"/>
              </w:rPr>
            </w:pPr>
          </w:p>
        </w:tc>
        <w:tc>
          <w:tcPr>
            <w:tcW w:w="6237" w:type="dxa"/>
            <w:gridSpan w:val="3"/>
            <w:tcBorders>
              <w:bottom w:val="single" w:sz="4" w:space="0" w:color="auto"/>
            </w:tcBorders>
          </w:tcPr>
          <w:p w:rsidR="00A12515" w:rsidRDefault="00A12515">
            <w:pPr>
              <w:jc w:val="center"/>
              <w:rPr>
                <w:rFonts w:ascii="Ravie" w:hAnsi="Ravie" w:cs="Arial"/>
                <w:b/>
                <w:sz w:val="14"/>
              </w:rPr>
            </w:pPr>
            <w:r>
              <w:rPr>
                <w:noProof/>
                <w:color w:val="0000FF"/>
                <w:lang w:val="en-GB" w:eastAsia="en-GB"/>
              </w:rPr>
              <w:drawing>
                <wp:inline distT="0" distB="0" distL="0" distR="0" wp14:anchorId="7A9B5EBE" wp14:editId="358E9902">
                  <wp:extent cx="1767840" cy="792480"/>
                  <wp:effectExtent l="0" t="0" r="0" b="7620"/>
                  <wp:docPr id="2" name="Picture 2" descr="C:\Users\s.rogers\AppData\Local\Microsoft\Windows\Temporary Internet Files\Content.IE5\88CDU3F4\weather-station-b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gers\AppData\Local\Microsoft\Windows\Temporary Internet Files\Content.IE5\88CDU3F4\weather-station-bi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213" cy="794889"/>
                          </a:xfrm>
                          <a:prstGeom prst="rect">
                            <a:avLst/>
                          </a:prstGeom>
                          <a:noFill/>
                          <a:ln>
                            <a:noFill/>
                          </a:ln>
                        </pic:spPr>
                      </pic:pic>
                    </a:graphicData>
                  </a:graphic>
                </wp:inline>
              </w:drawing>
            </w:r>
          </w:p>
          <w:p w:rsidR="00A12515" w:rsidRPr="00BC12E8" w:rsidRDefault="00A12515">
            <w:pPr>
              <w:jc w:val="center"/>
              <w:rPr>
                <w:rFonts w:ascii="Ravie" w:hAnsi="Ravie" w:cs="Arial"/>
                <w:b/>
                <w:sz w:val="28"/>
                <w:szCs w:val="28"/>
              </w:rPr>
            </w:pPr>
            <w:r>
              <w:rPr>
                <w:rFonts w:ascii="Ravie" w:hAnsi="Ravie" w:cs="Arial"/>
                <w:b/>
                <w:sz w:val="28"/>
                <w:szCs w:val="28"/>
              </w:rPr>
              <w:t>Weather and Seasons</w:t>
            </w:r>
          </w:p>
          <w:p w:rsidR="00A12515" w:rsidRDefault="00A12515">
            <w:pPr>
              <w:rPr>
                <w:rFonts w:ascii="Arial" w:hAnsi="Arial" w:cs="Arial"/>
                <w:sz w:val="28"/>
              </w:rPr>
            </w:pPr>
            <w:r>
              <w:rPr>
                <w:rFonts w:ascii="Arial" w:hAnsi="Arial" w:cs="Arial"/>
                <w:sz w:val="28"/>
              </w:rPr>
              <w:t xml:space="preserve">              </w:t>
            </w:r>
          </w:p>
          <w:p w:rsidR="00A12515" w:rsidRDefault="00A12515">
            <w:pPr>
              <w:numPr>
                <w:ilvl w:val="0"/>
                <w:numId w:val="1"/>
              </w:numPr>
              <w:ind w:left="0"/>
              <w:rPr>
                <w:rFonts w:ascii="Arial" w:eastAsia="Times New Roman" w:hAnsi="Arial" w:cs="Arial"/>
                <w:color w:val="222222"/>
                <w:sz w:val="27"/>
                <w:szCs w:val="27"/>
                <w:lang w:val="en-GB" w:eastAsia="en-GB"/>
              </w:rPr>
            </w:pPr>
            <w:r>
              <w:rPr>
                <w:rFonts w:ascii="Arial" w:hAnsi="Arial" w:cs="Arial"/>
                <w:sz w:val="28"/>
              </w:rPr>
              <w:t xml:space="preserve">                  </w:t>
            </w:r>
            <w:r>
              <w:rPr>
                <w:noProof/>
                <w:lang w:val="en-GB" w:eastAsia="en-GB"/>
              </w:rPr>
              <w:t xml:space="preserve"> </w:t>
            </w:r>
            <w:r>
              <w:rPr>
                <w:noProof/>
                <w:lang w:val="en-GB" w:eastAsia="en-GB"/>
              </w:rPr>
              <w:drawing>
                <wp:anchor distT="36576" distB="36576" distL="36576" distR="36576" simplePos="0" relativeHeight="251673600" behindDoc="0" locked="0" layoutInCell="1" allowOverlap="1" wp14:anchorId="3A90B07A" wp14:editId="5BCF0E7D">
                  <wp:simplePos x="0" y="0"/>
                  <wp:positionH relativeFrom="column">
                    <wp:posOffset>48754665</wp:posOffset>
                  </wp:positionH>
                  <wp:positionV relativeFrom="paragraph">
                    <wp:posOffset>1691640</wp:posOffset>
                  </wp:positionV>
                  <wp:extent cx="4162425" cy="3843020"/>
                  <wp:effectExtent l="0" t="0" r="9525" b="5080"/>
                  <wp:wrapNone/>
                  <wp:docPr id="10" name="Picture 10" descr="green-australia-map-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australia-map-h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43020"/>
                          </a:xfrm>
                          <a:prstGeom prst="rect">
                            <a:avLst/>
                          </a:prstGeom>
                          <a:noFill/>
                          <a:ln>
                            <a:noFill/>
                          </a:ln>
                          <a:effectLst/>
                        </pic:spPr>
                      </pic:pic>
                    </a:graphicData>
                  </a:graphic>
                </wp:anchor>
              </w:drawing>
            </w:r>
          </w:p>
          <w:p w:rsidR="00A12515" w:rsidRDefault="00A12515">
            <w:r>
              <w:rPr>
                <w:noProof/>
                <w:color w:val="0000FF"/>
                <w:lang w:val="en-GB" w:eastAsia="en-GB"/>
              </w:rPr>
              <w:t xml:space="preserve"> </w:t>
            </w:r>
          </w:p>
        </w:tc>
        <w:tc>
          <w:tcPr>
            <w:tcW w:w="4223" w:type="dxa"/>
            <w:gridSpan w:val="2"/>
            <w:vMerge/>
            <w:tcBorders>
              <w:bottom w:val="single" w:sz="4" w:space="0" w:color="auto"/>
            </w:tcBorders>
          </w:tcPr>
          <w:p w:rsidR="00A12515" w:rsidRDefault="00A12515">
            <w:pPr>
              <w:rPr>
                <w:sz w:val="22"/>
              </w:rPr>
            </w:pPr>
          </w:p>
        </w:tc>
      </w:tr>
      <w:tr w:rsidR="00A12515" w:rsidTr="00A12515">
        <w:trPr>
          <w:trHeight w:val="572"/>
        </w:trPr>
        <w:tc>
          <w:tcPr>
            <w:tcW w:w="2660" w:type="dxa"/>
            <w:shd w:val="pct12" w:color="auto" w:fill="auto"/>
            <w:vAlign w:val="center"/>
          </w:tcPr>
          <w:p w:rsidR="00A12515" w:rsidRDefault="00A12515" w:rsidP="00C46132">
            <w:pPr>
              <w:jc w:val="center"/>
              <w:rPr>
                <w:b/>
              </w:rPr>
            </w:pPr>
            <w:r>
              <w:rPr>
                <w:b/>
              </w:rPr>
              <w:t xml:space="preserve">PSHE </w:t>
            </w:r>
          </w:p>
        </w:tc>
        <w:tc>
          <w:tcPr>
            <w:tcW w:w="2268" w:type="dxa"/>
            <w:shd w:val="pct12" w:color="auto" w:fill="auto"/>
            <w:vAlign w:val="center"/>
          </w:tcPr>
          <w:p w:rsidR="00A12515" w:rsidRDefault="00A12515">
            <w:pPr>
              <w:jc w:val="center"/>
              <w:rPr>
                <w:b/>
              </w:rPr>
            </w:pPr>
            <w:r>
              <w:rPr>
                <w:b/>
              </w:rPr>
              <w:t>PE</w:t>
            </w:r>
          </w:p>
        </w:tc>
        <w:tc>
          <w:tcPr>
            <w:tcW w:w="3685" w:type="dxa"/>
            <w:gridSpan w:val="2"/>
            <w:shd w:val="pct12" w:color="auto" w:fill="auto"/>
            <w:vAlign w:val="center"/>
          </w:tcPr>
          <w:p w:rsidR="00A12515" w:rsidRDefault="00A12515" w:rsidP="00C46132">
            <w:pPr>
              <w:jc w:val="center"/>
              <w:rPr>
                <w:b/>
              </w:rPr>
            </w:pPr>
            <w:r>
              <w:rPr>
                <w:b/>
              </w:rPr>
              <w:t>RE</w:t>
            </w:r>
          </w:p>
        </w:tc>
        <w:tc>
          <w:tcPr>
            <w:tcW w:w="3856" w:type="dxa"/>
            <w:gridSpan w:val="2"/>
            <w:shd w:val="pct12" w:color="auto" w:fill="auto"/>
            <w:vAlign w:val="center"/>
          </w:tcPr>
          <w:p w:rsidR="00A12515" w:rsidRDefault="00A12515">
            <w:pPr>
              <w:jc w:val="center"/>
              <w:rPr>
                <w:b/>
              </w:rPr>
            </w:pPr>
            <w:r>
              <w:rPr>
                <w:b/>
              </w:rPr>
              <w:t>Geography</w:t>
            </w:r>
          </w:p>
        </w:tc>
        <w:tc>
          <w:tcPr>
            <w:tcW w:w="2919" w:type="dxa"/>
            <w:shd w:val="pct12" w:color="auto" w:fill="auto"/>
            <w:vAlign w:val="center"/>
          </w:tcPr>
          <w:p w:rsidR="00A12515" w:rsidRDefault="00A12515">
            <w:pPr>
              <w:jc w:val="center"/>
              <w:rPr>
                <w:b/>
              </w:rPr>
            </w:pPr>
            <w:r>
              <w:rPr>
                <w:b/>
              </w:rPr>
              <w:t>Music</w:t>
            </w:r>
          </w:p>
        </w:tc>
      </w:tr>
      <w:tr w:rsidR="00A12515" w:rsidTr="00A12515">
        <w:trPr>
          <w:trHeight w:val="1296"/>
        </w:trPr>
        <w:tc>
          <w:tcPr>
            <w:tcW w:w="2660" w:type="dxa"/>
          </w:tcPr>
          <w:p w:rsidR="00A12515" w:rsidRDefault="00A12515" w:rsidP="00C46132">
            <w:pPr>
              <w:rPr>
                <w:rFonts w:cs="Arial"/>
                <w:sz w:val="22"/>
                <w:u w:val="single"/>
              </w:rPr>
            </w:pPr>
            <w:r>
              <w:rPr>
                <w:rFonts w:cs="Arial"/>
                <w:sz w:val="22"/>
                <w:u w:val="single"/>
              </w:rPr>
              <w:t>Relationships</w:t>
            </w:r>
          </w:p>
          <w:p w:rsidR="00A12515" w:rsidRDefault="00A12515" w:rsidP="00C46132">
            <w:pPr>
              <w:rPr>
                <w:sz w:val="22"/>
              </w:rPr>
            </w:pPr>
            <w:r>
              <w:rPr>
                <w:rFonts w:cs="Arial"/>
                <w:sz w:val="22"/>
              </w:rPr>
              <w:t>We will be exploring, discussing and celebrating relationships.</w:t>
            </w:r>
          </w:p>
        </w:tc>
        <w:tc>
          <w:tcPr>
            <w:tcW w:w="2268" w:type="dxa"/>
          </w:tcPr>
          <w:p w:rsidR="00A12515" w:rsidRDefault="00A12515" w:rsidP="00C46132">
            <w:pPr>
              <w:rPr>
                <w:sz w:val="22"/>
              </w:rPr>
            </w:pPr>
            <w:r>
              <w:rPr>
                <w:sz w:val="22"/>
              </w:rPr>
              <w:t>We will continue to work with the sports coach.</w:t>
            </w:r>
          </w:p>
        </w:tc>
        <w:tc>
          <w:tcPr>
            <w:tcW w:w="3685" w:type="dxa"/>
            <w:gridSpan w:val="2"/>
          </w:tcPr>
          <w:p w:rsidR="00A12515" w:rsidRDefault="00A12515" w:rsidP="00C46132">
            <w:pPr>
              <w:rPr>
                <w:sz w:val="22"/>
                <w:u w:val="single"/>
              </w:rPr>
            </w:pPr>
            <w:r>
              <w:rPr>
                <w:sz w:val="22"/>
                <w:u w:val="single"/>
              </w:rPr>
              <w:t>Remembering / Passover</w:t>
            </w:r>
          </w:p>
          <w:p w:rsidR="00A12515" w:rsidRDefault="00A12515" w:rsidP="009533BD">
            <w:pPr>
              <w:rPr>
                <w:sz w:val="22"/>
              </w:rPr>
            </w:pPr>
            <w:r>
              <w:rPr>
                <w:sz w:val="22"/>
              </w:rPr>
              <w:t>We will be thinking about what and how we remember events, people and stories, before thinking about how Christians remember Jesus at Christmas and how Jewish people remember God’s help at Passover.</w:t>
            </w:r>
          </w:p>
        </w:tc>
        <w:tc>
          <w:tcPr>
            <w:tcW w:w="3856" w:type="dxa"/>
            <w:gridSpan w:val="2"/>
          </w:tcPr>
          <w:p w:rsidR="00A12515" w:rsidRPr="00CC794E" w:rsidRDefault="00A12515" w:rsidP="00A12515">
            <w:pPr>
              <w:rPr>
                <w:sz w:val="22"/>
                <w:szCs w:val="22"/>
              </w:rPr>
            </w:pPr>
            <w:r>
              <w:rPr>
                <w:sz w:val="22"/>
              </w:rPr>
              <w:t xml:space="preserve"> </w:t>
            </w:r>
            <w:r w:rsidRPr="00CC794E">
              <w:rPr>
                <w:sz w:val="22"/>
                <w:szCs w:val="22"/>
              </w:rPr>
              <w:t>Weather Patterns</w:t>
            </w:r>
          </w:p>
          <w:p w:rsidR="00A12515" w:rsidRPr="00CC794E" w:rsidRDefault="00A12515" w:rsidP="00A12515">
            <w:pPr>
              <w:rPr>
                <w:sz w:val="22"/>
                <w:szCs w:val="22"/>
              </w:rPr>
            </w:pPr>
            <w:r w:rsidRPr="00CC794E">
              <w:rPr>
                <w:sz w:val="22"/>
                <w:szCs w:val="22"/>
              </w:rPr>
              <w:t>Seasonal Changes in Weather</w:t>
            </w:r>
          </w:p>
          <w:p w:rsidR="00A12515" w:rsidRPr="00CC794E" w:rsidRDefault="00A12515" w:rsidP="00A12515">
            <w:pPr>
              <w:rPr>
                <w:sz w:val="22"/>
                <w:szCs w:val="22"/>
              </w:rPr>
            </w:pPr>
            <w:r w:rsidRPr="00CC794E">
              <w:rPr>
                <w:sz w:val="22"/>
                <w:szCs w:val="22"/>
              </w:rPr>
              <w:t>Extreme Weather Conditions</w:t>
            </w:r>
          </w:p>
          <w:p w:rsidR="00A12515" w:rsidRPr="00CC794E" w:rsidRDefault="00A12515" w:rsidP="00A12515">
            <w:pPr>
              <w:rPr>
                <w:sz w:val="22"/>
                <w:szCs w:val="22"/>
              </w:rPr>
            </w:pPr>
            <w:r w:rsidRPr="00CC794E">
              <w:rPr>
                <w:sz w:val="22"/>
                <w:szCs w:val="22"/>
              </w:rPr>
              <w:t>Weather and Animals in Cold Climates</w:t>
            </w:r>
          </w:p>
          <w:p w:rsidR="00A12515" w:rsidRDefault="00A12515" w:rsidP="00A12515">
            <w:pPr>
              <w:rPr>
                <w:sz w:val="22"/>
              </w:rPr>
            </w:pPr>
            <w:r w:rsidRPr="00CC794E">
              <w:rPr>
                <w:sz w:val="22"/>
                <w:szCs w:val="22"/>
              </w:rPr>
              <w:t>Weather and Animals in Hot Climates</w:t>
            </w:r>
          </w:p>
        </w:tc>
        <w:tc>
          <w:tcPr>
            <w:tcW w:w="2919" w:type="dxa"/>
          </w:tcPr>
          <w:p w:rsidR="00A12515" w:rsidRDefault="00A12515">
            <w:pPr>
              <w:rPr>
                <w:sz w:val="22"/>
                <w:u w:val="single"/>
              </w:rPr>
            </w:pPr>
            <w:r>
              <w:rPr>
                <w:sz w:val="22"/>
                <w:u w:val="single"/>
              </w:rPr>
              <w:t>The long and the short of it</w:t>
            </w:r>
          </w:p>
          <w:p w:rsidR="00A12515" w:rsidRDefault="00A12515" w:rsidP="00C46132">
            <w:pPr>
              <w:rPr>
                <w:sz w:val="22"/>
              </w:rPr>
            </w:pPr>
            <w:r>
              <w:rPr>
                <w:sz w:val="22"/>
              </w:rPr>
              <w:t>We will be exploring duration in musical pieces and when using instruments.</w:t>
            </w:r>
          </w:p>
        </w:tc>
      </w:tr>
    </w:tbl>
    <w:p w:rsidR="00DB7F14" w:rsidRDefault="00DB7F14"/>
    <w:sectPr w:rsidR="00DB7F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92FBA"/>
    <w:multiLevelType w:val="hybridMultilevel"/>
    <w:tmpl w:val="6E86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4"/>
    <w:rsid w:val="000B12E1"/>
    <w:rsid w:val="0022543F"/>
    <w:rsid w:val="002D13EC"/>
    <w:rsid w:val="0031298F"/>
    <w:rsid w:val="00336990"/>
    <w:rsid w:val="00466627"/>
    <w:rsid w:val="0062037A"/>
    <w:rsid w:val="0062439C"/>
    <w:rsid w:val="009533BD"/>
    <w:rsid w:val="00A12515"/>
    <w:rsid w:val="00A85FCA"/>
    <w:rsid w:val="00A90456"/>
    <w:rsid w:val="00BC12E8"/>
    <w:rsid w:val="00C46132"/>
    <w:rsid w:val="00CC794E"/>
    <w:rsid w:val="00D46AC8"/>
    <w:rsid w:val="00DB7F14"/>
    <w:rsid w:val="00E37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Stella Rogers</cp:lastModifiedBy>
  <cp:revision>2</cp:revision>
  <cp:lastPrinted>2018-01-05T13:39:00Z</cp:lastPrinted>
  <dcterms:created xsi:type="dcterms:W3CDTF">2018-01-05T13:48:00Z</dcterms:created>
  <dcterms:modified xsi:type="dcterms:W3CDTF">2018-01-05T13:48:00Z</dcterms:modified>
</cp:coreProperties>
</file>