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976"/>
        <w:gridCol w:w="709"/>
        <w:gridCol w:w="3119"/>
        <w:gridCol w:w="2976"/>
        <w:gridCol w:w="1539"/>
      </w:tblGrid>
      <w:tr w:rsidR="00977F7A" w:rsidTr="005972EA">
        <w:trPr>
          <w:trHeight w:val="551"/>
        </w:trPr>
        <w:tc>
          <w:tcPr>
            <w:tcW w:w="7479" w:type="dxa"/>
            <w:gridSpan w:val="3"/>
            <w:shd w:val="pct10" w:color="auto" w:fill="auto"/>
            <w:vAlign w:val="center"/>
          </w:tcPr>
          <w:p w:rsidR="00977F7A" w:rsidRPr="00DC7014" w:rsidRDefault="00282E01">
            <w:pPr>
              <w:jc w:val="center"/>
              <w:rPr>
                <w:b/>
                <w:color w:val="FF0000"/>
                <w:sz w:val="28"/>
                <w:highlight w:val="yellow"/>
              </w:rPr>
            </w:pPr>
            <w:bookmarkStart w:id="0" w:name="_GoBack"/>
            <w:bookmarkEnd w:id="0"/>
            <w:r w:rsidRPr="00DC7014">
              <w:rPr>
                <w:b/>
                <w:sz w:val="28"/>
              </w:rPr>
              <w:t>Literacy</w:t>
            </w:r>
          </w:p>
        </w:tc>
        <w:tc>
          <w:tcPr>
            <w:tcW w:w="8343" w:type="dxa"/>
            <w:gridSpan w:val="4"/>
            <w:shd w:val="clear" w:color="auto" w:fill="E5DFEC" w:themeFill="accent4" w:themeFillTint="33"/>
            <w:vAlign w:val="center"/>
          </w:tcPr>
          <w:p w:rsidR="00977F7A" w:rsidRPr="00085F74" w:rsidRDefault="00282E01">
            <w:pPr>
              <w:jc w:val="center"/>
              <w:rPr>
                <w:b/>
                <w:color w:val="FF0000"/>
                <w:sz w:val="28"/>
              </w:rPr>
            </w:pPr>
            <w:r w:rsidRPr="00085F74">
              <w:rPr>
                <w:b/>
                <w:sz w:val="28"/>
              </w:rPr>
              <w:t>Numeracy</w:t>
            </w:r>
          </w:p>
        </w:tc>
      </w:tr>
      <w:tr w:rsidR="00977F7A" w:rsidTr="005972EA">
        <w:trPr>
          <w:trHeight w:val="2814"/>
        </w:trPr>
        <w:tc>
          <w:tcPr>
            <w:tcW w:w="7479" w:type="dxa"/>
            <w:gridSpan w:val="3"/>
            <w:tcBorders>
              <w:bottom w:val="single" w:sz="4" w:space="0" w:color="auto"/>
            </w:tcBorders>
          </w:tcPr>
          <w:p w:rsidR="00B15023" w:rsidRPr="00DC7014" w:rsidRDefault="00B15023">
            <w:pPr>
              <w:rPr>
                <w:b/>
                <w:sz w:val="18"/>
                <w:szCs w:val="17"/>
              </w:rPr>
            </w:pPr>
            <w:r w:rsidRPr="00DC7014">
              <w:rPr>
                <w:b/>
                <w:sz w:val="18"/>
                <w:szCs w:val="17"/>
              </w:rPr>
              <w:t>In literacy, this h</w:t>
            </w:r>
            <w:r w:rsidR="0010563D" w:rsidRPr="00DC7014">
              <w:rPr>
                <w:b/>
                <w:sz w:val="18"/>
                <w:szCs w:val="17"/>
              </w:rPr>
              <w:t xml:space="preserve">alf term, we will be looking at: </w:t>
            </w:r>
          </w:p>
          <w:p w:rsidR="009715CC" w:rsidRPr="00DC7014" w:rsidRDefault="009715CC">
            <w:pPr>
              <w:rPr>
                <w:sz w:val="18"/>
                <w:szCs w:val="17"/>
                <w:highlight w:val="yellow"/>
              </w:rPr>
            </w:pPr>
          </w:p>
          <w:p w:rsidR="00CF3B86" w:rsidRPr="00DC4719" w:rsidRDefault="00DC7014">
            <w:pPr>
              <w:rPr>
                <w:sz w:val="18"/>
                <w:szCs w:val="17"/>
              </w:rPr>
            </w:pPr>
            <w:r w:rsidRPr="00DC7014">
              <w:rPr>
                <w:b/>
                <w:sz w:val="18"/>
                <w:szCs w:val="17"/>
              </w:rPr>
              <w:t>Instructions</w:t>
            </w:r>
            <w:r w:rsidR="00980B80">
              <w:rPr>
                <w:b/>
                <w:sz w:val="18"/>
                <w:szCs w:val="17"/>
              </w:rPr>
              <w:t>:</w:t>
            </w:r>
            <w:r w:rsidR="00DC4719">
              <w:rPr>
                <w:b/>
                <w:sz w:val="18"/>
                <w:szCs w:val="17"/>
              </w:rPr>
              <w:t xml:space="preserve"> </w:t>
            </w:r>
            <w:r w:rsidR="00DC4719">
              <w:rPr>
                <w:sz w:val="18"/>
                <w:szCs w:val="17"/>
              </w:rPr>
              <w:t>Our class text is Kid President, by Brad Montague and Robby Novak. We will explore the features of instructions and</w:t>
            </w:r>
            <w:r w:rsidR="00835308">
              <w:rPr>
                <w:sz w:val="18"/>
                <w:szCs w:val="17"/>
              </w:rPr>
              <w:t xml:space="preserve"> use the style of Kid President</w:t>
            </w:r>
            <w:r w:rsidR="00DC4719">
              <w:rPr>
                <w:sz w:val="18"/>
                <w:szCs w:val="17"/>
              </w:rPr>
              <w:t xml:space="preserve"> </w:t>
            </w:r>
            <w:r w:rsidR="00835308">
              <w:rPr>
                <w:sz w:val="18"/>
                <w:szCs w:val="17"/>
              </w:rPr>
              <w:t>when creating</w:t>
            </w:r>
            <w:r w:rsidR="00DC4719">
              <w:rPr>
                <w:sz w:val="18"/>
                <w:szCs w:val="17"/>
              </w:rPr>
              <w:t xml:space="preserve"> our Tomb Raiders’ guide to Ancient Egypt.  </w:t>
            </w:r>
            <w:r w:rsidR="00DC4719" w:rsidRPr="00DC4719">
              <w:rPr>
                <w:sz w:val="18"/>
                <w:szCs w:val="17"/>
              </w:rPr>
              <w:t xml:space="preserve"> </w:t>
            </w:r>
          </w:p>
          <w:p w:rsidR="00DC4719" w:rsidRDefault="00DC4719" w:rsidP="00A25265">
            <w:pPr>
              <w:rPr>
                <w:b/>
                <w:sz w:val="18"/>
                <w:szCs w:val="17"/>
              </w:rPr>
            </w:pPr>
          </w:p>
          <w:p w:rsidR="009715CC" w:rsidRDefault="00DC4719" w:rsidP="00DC4719">
            <w:pPr>
              <w:rPr>
                <w:rFonts w:ascii="Calibri" w:hAnsi="Calibri"/>
                <w:sz w:val="18"/>
                <w:szCs w:val="18"/>
                <w:lang w:val="en-GB"/>
              </w:rPr>
            </w:pPr>
            <w:r w:rsidRPr="00DC4719">
              <w:rPr>
                <w:b/>
                <w:sz w:val="18"/>
                <w:szCs w:val="18"/>
              </w:rPr>
              <w:t xml:space="preserve">Suspense and Mystery: </w:t>
            </w:r>
            <w:r w:rsidRPr="00DC4719">
              <w:rPr>
                <w:rFonts w:ascii="Calibri" w:hAnsi="Calibri"/>
                <w:sz w:val="18"/>
                <w:szCs w:val="18"/>
              </w:rPr>
              <w:t xml:space="preserve">We will read Mystery of the Egyptian Scroll, by Scott Peters and </w:t>
            </w:r>
            <w:r w:rsidRPr="00DC4719">
              <w:rPr>
                <w:rFonts w:ascii="Calibri" w:hAnsi="Calibri"/>
                <w:sz w:val="18"/>
                <w:szCs w:val="18"/>
                <w:lang w:val="en-GB"/>
              </w:rPr>
              <w:t>analyse the features the author uses to create suspense and mystery. The children will then create and write their own suspense a</w:t>
            </w:r>
            <w:r w:rsidR="00835308">
              <w:rPr>
                <w:rFonts w:ascii="Calibri" w:hAnsi="Calibri"/>
                <w:sz w:val="18"/>
                <w:szCs w:val="18"/>
                <w:lang w:val="en-GB"/>
              </w:rPr>
              <w:t>nd mystery stories linked into A</w:t>
            </w:r>
            <w:r w:rsidRPr="00DC4719">
              <w:rPr>
                <w:rFonts w:ascii="Calibri" w:hAnsi="Calibri"/>
                <w:sz w:val="18"/>
                <w:szCs w:val="18"/>
                <w:lang w:val="en-GB"/>
              </w:rPr>
              <w:t xml:space="preserve">ncient Egypt. </w:t>
            </w:r>
          </w:p>
          <w:p w:rsidR="009715CC" w:rsidRDefault="009715CC" w:rsidP="00DC4719">
            <w:pPr>
              <w:rPr>
                <w:rFonts w:ascii="Calibri" w:hAnsi="Calibri"/>
                <w:sz w:val="18"/>
                <w:szCs w:val="18"/>
                <w:lang w:val="en-GB"/>
              </w:rPr>
            </w:pPr>
          </w:p>
          <w:p w:rsidR="005972EA" w:rsidRPr="00085F74" w:rsidRDefault="005972EA" w:rsidP="005972EA">
            <w:pPr>
              <w:rPr>
                <w:b/>
                <w:sz w:val="18"/>
                <w:szCs w:val="17"/>
                <w:u w:val="single"/>
              </w:rPr>
            </w:pPr>
            <w:r w:rsidRPr="00085F74">
              <w:rPr>
                <w:b/>
                <w:sz w:val="18"/>
                <w:szCs w:val="17"/>
                <w:u w:val="single"/>
              </w:rPr>
              <w:t>SPAG</w:t>
            </w:r>
          </w:p>
          <w:p w:rsidR="005972EA" w:rsidRDefault="005972EA" w:rsidP="005972EA">
            <w:pPr>
              <w:rPr>
                <w:sz w:val="17"/>
                <w:szCs w:val="17"/>
              </w:rPr>
            </w:pPr>
            <w:r>
              <w:rPr>
                <w:sz w:val="17"/>
                <w:szCs w:val="17"/>
              </w:rPr>
              <w:t>During the child</w:t>
            </w:r>
            <w:r w:rsidRPr="00085F74">
              <w:rPr>
                <w:sz w:val="17"/>
                <w:szCs w:val="17"/>
              </w:rPr>
              <w:t xml:space="preserve">ren’s literacy lessons Spelling, Punctuation and Grammar is interweaved throughout. </w:t>
            </w:r>
          </w:p>
          <w:p w:rsidR="005972EA" w:rsidRDefault="005972EA" w:rsidP="005972EA">
            <w:pPr>
              <w:rPr>
                <w:sz w:val="17"/>
                <w:szCs w:val="17"/>
              </w:rPr>
            </w:pPr>
          </w:p>
          <w:p w:rsidR="005972EA" w:rsidRPr="00085F74" w:rsidRDefault="005972EA" w:rsidP="005972EA">
            <w:pPr>
              <w:rPr>
                <w:sz w:val="17"/>
                <w:szCs w:val="17"/>
              </w:rPr>
            </w:pPr>
            <w:r w:rsidRPr="00085F74">
              <w:rPr>
                <w:sz w:val="17"/>
                <w:szCs w:val="17"/>
              </w:rPr>
              <w:t xml:space="preserve">Over this half term the children will </w:t>
            </w:r>
            <w:r>
              <w:rPr>
                <w:sz w:val="17"/>
                <w:szCs w:val="17"/>
              </w:rPr>
              <w:t xml:space="preserve">learn how and when to use formal and informal writing styles, establish and maintain a particular viewpoint, select and use an appropriate writing model and use a variety of </w:t>
            </w:r>
            <w:r w:rsidRPr="005972EA">
              <w:rPr>
                <w:sz w:val="17"/>
                <w:szCs w:val="17"/>
                <w:lang w:val="en-GB"/>
              </w:rPr>
              <w:t>organisational</w:t>
            </w:r>
            <w:r>
              <w:rPr>
                <w:sz w:val="17"/>
                <w:szCs w:val="17"/>
              </w:rPr>
              <w:t xml:space="preserve"> and presentational devices such as headings, underlining and bullet points. </w:t>
            </w:r>
          </w:p>
          <w:p w:rsidR="005972EA" w:rsidRPr="00DC7014" w:rsidRDefault="005972EA" w:rsidP="005972EA">
            <w:pPr>
              <w:rPr>
                <w:sz w:val="17"/>
                <w:szCs w:val="17"/>
                <w:highlight w:val="yellow"/>
              </w:rPr>
            </w:pPr>
          </w:p>
          <w:p w:rsidR="005972EA" w:rsidRPr="00DC7014" w:rsidRDefault="005972EA" w:rsidP="005972EA">
            <w:pPr>
              <w:rPr>
                <w:sz w:val="17"/>
                <w:szCs w:val="17"/>
              </w:rPr>
            </w:pPr>
            <w:r>
              <w:rPr>
                <w:sz w:val="17"/>
                <w:szCs w:val="17"/>
              </w:rPr>
              <w:t>In Guided R</w:t>
            </w:r>
            <w:r w:rsidRPr="00DC7014">
              <w:rPr>
                <w:sz w:val="17"/>
                <w:szCs w:val="17"/>
              </w:rPr>
              <w:t xml:space="preserve">eading and in our Literacy lessons we will be </w:t>
            </w:r>
            <w:r>
              <w:rPr>
                <w:sz w:val="17"/>
                <w:szCs w:val="17"/>
              </w:rPr>
              <w:t>reading and exploring a variety of texts. Some linked into our topic and our texts that the children will choose in their guided reading groups</w:t>
            </w:r>
            <w:r w:rsidRPr="00DC7014">
              <w:rPr>
                <w:sz w:val="17"/>
                <w:szCs w:val="17"/>
              </w:rPr>
              <w:t xml:space="preserve">. </w:t>
            </w:r>
          </w:p>
          <w:p w:rsidR="00DC4719" w:rsidRPr="00DC4719" w:rsidRDefault="00DC4719" w:rsidP="00DC4719">
            <w:pPr>
              <w:rPr>
                <w:b/>
                <w:sz w:val="18"/>
                <w:szCs w:val="18"/>
              </w:rPr>
            </w:pPr>
            <w:r w:rsidRPr="00DC4719">
              <w:rPr>
                <w:rFonts w:ascii="Calibri" w:hAnsi="Calibri"/>
                <w:sz w:val="18"/>
                <w:szCs w:val="18"/>
              </w:rPr>
              <w:t xml:space="preserve">   </w:t>
            </w:r>
          </w:p>
        </w:tc>
        <w:tc>
          <w:tcPr>
            <w:tcW w:w="8343" w:type="dxa"/>
            <w:gridSpan w:val="4"/>
            <w:shd w:val="clear" w:color="auto" w:fill="auto"/>
          </w:tcPr>
          <w:p w:rsidR="00977F7A" w:rsidRPr="00835308" w:rsidRDefault="00B15023">
            <w:pPr>
              <w:rPr>
                <w:b/>
                <w:sz w:val="18"/>
                <w:szCs w:val="18"/>
              </w:rPr>
            </w:pPr>
            <w:r w:rsidRPr="00835308">
              <w:rPr>
                <w:b/>
                <w:sz w:val="18"/>
                <w:szCs w:val="18"/>
              </w:rPr>
              <w:t>In numeracy, this half term, w</w:t>
            </w:r>
            <w:r w:rsidR="00282E01" w:rsidRPr="00835308">
              <w:rPr>
                <w:b/>
                <w:sz w:val="18"/>
                <w:szCs w:val="18"/>
              </w:rPr>
              <w:t>e will be</w:t>
            </w:r>
            <w:r w:rsidR="00740DEB" w:rsidRPr="00835308">
              <w:rPr>
                <w:b/>
                <w:sz w:val="18"/>
                <w:szCs w:val="18"/>
              </w:rPr>
              <w:t xml:space="preserve"> learning about</w:t>
            </w:r>
            <w:r w:rsidR="00282E01" w:rsidRPr="00835308">
              <w:rPr>
                <w:b/>
                <w:sz w:val="18"/>
                <w:szCs w:val="18"/>
              </w:rPr>
              <w:t>:</w:t>
            </w:r>
          </w:p>
          <w:p w:rsidR="00085F74" w:rsidRDefault="00085F74" w:rsidP="00085F74">
            <w:pPr>
              <w:rPr>
                <w:sz w:val="18"/>
                <w:szCs w:val="18"/>
              </w:rPr>
            </w:pPr>
            <w:r w:rsidRPr="00835308">
              <w:rPr>
                <w:b/>
                <w:sz w:val="18"/>
                <w:szCs w:val="18"/>
              </w:rPr>
              <w:t>Number and place value:</w:t>
            </w:r>
            <w:r w:rsidRPr="00835308">
              <w:rPr>
                <w:sz w:val="18"/>
                <w:szCs w:val="18"/>
              </w:rPr>
              <w:t xml:space="preserve"> </w:t>
            </w:r>
          </w:p>
          <w:p w:rsidR="00835308" w:rsidRPr="00835308" w:rsidRDefault="00835308" w:rsidP="00835308">
            <w:pPr>
              <w:pStyle w:val="Default"/>
              <w:rPr>
                <w:rFonts w:asciiTheme="minorHAnsi" w:hAnsiTheme="minorHAnsi"/>
                <w:sz w:val="18"/>
                <w:szCs w:val="18"/>
              </w:rPr>
            </w:pPr>
            <w:r w:rsidRPr="00835308">
              <w:rPr>
                <w:rFonts w:asciiTheme="minorHAnsi" w:hAnsiTheme="minorHAnsi"/>
                <w:sz w:val="18"/>
                <w:szCs w:val="18"/>
              </w:rPr>
              <w:t xml:space="preserve">Read, write, order and compare numbers to at least 1,000,000. </w:t>
            </w:r>
          </w:p>
          <w:p w:rsidR="00085F74" w:rsidRPr="00835308" w:rsidRDefault="00835308" w:rsidP="00085F74">
            <w:pPr>
              <w:rPr>
                <w:sz w:val="18"/>
                <w:szCs w:val="18"/>
              </w:rPr>
            </w:pPr>
            <w:r w:rsidRPr="00835308">
              <w:rPr>
                <w:sz w:val="18"/>
                <w:szCs w:val="18"/>
              </w:rPr>
              <w:t xml:space="preserve">Round any number up to 1,000,000 to the nearest 10, 100, 1000, 10,000 or 100,000. </w:t>
            </w:r>
          </w:p>
          <w:p w:rsidR="00085F74" w:rsidRPr="00835308" w:rsidRDefault="00085F74" w:rsidP="00085F74">
            <w:pPr>
              <w:rPr>
                <w:sz w:val="18"/>
                <w:szCs w:val="18"/>
              </w:rPr>
            </w:pPr>
            <w:r w:rsidRPr="00835308">
              <w:rPr>
                <w:b/>
                <w:sz w:val="18"/>
                <w:szCs w:val="18"/>
              </w:rPr>
              <w:t>Addition and subtraction:</w:t>
            </w:r>
            <w:r w:rsidRPr="00835308">
              <w:rPr>
                <w:sz w:val="18"/>
                <w:szCs w:val="18"/>
              </w:rPr>
              <w:t xml:space="preserve"> </w:t>
            </w:r>
          </w:p>
          <w:p w:rsidR="00835308" w:rsidRPr="00835308" w:rsidRDefault="00835308" w:rsidP="00835308">
            <w:pPr>
              <w:pStyle w:val="Standard"/>
              <w:rPr>
                <w:rFonts w:asciiTheme="minorHAnsi" w:hAnsiTheme="minorHAnsi" w:cs="Arial"/>
                <w:b/>
                <w:sz w:val="18"/>
                <w:szCs w:val="18"/>
              </w:rPr>
            </w:pPr>
            <w:r w:rsidRPr="00835308">
              <w:rPr>
                <w:rFonts w:asciiTheme="minorHAnsi" w:hAnsiTheme="minorHAnsi"/>
                <w:sz w:val="18"/>
                <w:szCs w:val="18"/>
              </w:rPr>
              <w:t xml:space="preserve">Solve multi-step addition and subtraction problems in contexts using a range of representations. </w:t>
            </w:r>
          </w:p>
          <w:p w:rsidR="00085F74" w:rsidRPr="00835308" w:rsidRDefault="00835308" w:rsidP="00835308">
            <w:pPr>
              <w:rPr>
                <w:sz w:val="18"/>
                <w:szCs w:val="18"/>
              </w:rPr>
            </w:pPr>
            <w:r w:rsidRPr="00835308">
              <w:rPr>
                <w:sz w:val="18"/>
                <w:szCs w:val="18"/>
              </w:rPr>
              <w:t>Decide which operation and method to use and why.</w:t>
            </w:r>
          </w:p>
          <w:p w:rsidR="00085F74" w:rsidRDefault="00085F74" w:rsidP="00085F74">
            <w:pPr>
              <w:rPr>
                <w:sz w:val="18"/>
                <w:szCs w:val="18"/>
              </w:rPr>
            </w:pPr>
            <w:r w:rsidRPr="00835308">
              <w:rPr>
                <w:b/>
                <w:sz w:val="18"/>
                <w:szCs w:val="18"/>
              </w:rPr>
              <w:t>Multiplication and division:</w:t>
            </w:r>
            <w:r w:rsidRPr="00835308">
              <w:rPr>
                <w:sz w:val="18"/>
                <w:szCs w:val="18"/>
              </w:rPr>
              <w:t xml:space="preserve"> </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Identify multiples and factors. </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Find all factor pairs of a number, and common factors of two numbers. </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Know prime numbers to 20. </w:t>
            </w:r>
          </w:p>
          <w:p w:rsidR="009715CC" w:rsidRPr="009715CC" w:rsidRDefault="009715CC" w:rsidP="009715CC">
            <w:pPr>
              <w:rPr>
                <w:sz w:val="18"/>
                <w:szCs w:val="18"/>
              </w:rPr>
            </w:pPr>
            <w:r w:rsidRPr="009715CC">
              <w:rPr>
                <w:sz w:val="18"/>
                <w:szCs w:val="18"/>
              </w:rPr>
              <w:t>Multiply and divide part and whole numbers by 10 and 100</w:t>
            </w:r>
          </w:p>
          <w:p w:rsidR="009715CC" w:rsidRPr="009715CC" w:rsidRDefault="009715CC" w:rsidP="00085F74">
            <w:pPr>
              <w:rPr>
                <w:b/>
                <w:sz w:val="18"/>
                <w:szCs w:val="18"/>
              </w:rPr>
            </w:pPr>
            <w:r w:rsidRPr="009715CC">
              <w:rPr>
                <w:b/>
                <w:sz w:val="18"/>
                <w:szCs w:val="18"/>
              </w:rPr>
              <w:t>Geometry:</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Identify 3-D shapes including cubes and other cuboids from2-D representations (nets)</w:t>
            </w:r>
            <w:r>
              <w:rPr>
                <w:rFonts w:asciiTheme="minorHAnsi" w:hAnsiTheme="minorHAnsi"/>
                <w:sz w:val="18"/>
                <w:szCs w:val="18"/>
              </w:rPr>
              <w:t>.</w:t>
            </w:r>
            <w:r w:rsidRPr="009715CC">
              <w:rPr>
                <w:rFonts w:asciiTheme="minorHAnsi" w:hAnsiTheme="minorHAnsi"/>
                <w:sz w:val="18"/>
                <w:szCs w:val="18"/>
              </w:rPr>
              <w:t xml:space="preserve"> </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Estimate and compare acute, obtuse and reflex angles. </w:t>
            </w:r>
          </w:p>
          <w:p w:rsidR="00085F74" w:rsidRPr="009715CC" w:rsidRDefault="009715CC" w:rsidP="009715CC">
            <w:pPr>
              <w:rPr>
                <w:sz w:val="18"/>
                <w:szCs w:val="18"/>
              </w:rPr>
            </w:pPr>
            <w:r w:rsidRPr="009715CC">
              <w:rPr>
                <w:sz w:val="18"/>
                <w:szCs w:val="18"/>
              </w:rPr>
              <w:t>Know that angles around a point (one complete turn) are equivalent to 360°.</w:t>
            </w:r>
          </w:p>
          <w:p w:rsidR="00C05F84" w:rsidRPr="00835308" w:rsidRDefault="00085F74" w:rsidP="00C05F84">
            <w:pPr>
              <w:rPr>
                <w:sz w:val="18"/>
                <w:szCs w:val="18"/>
              </w:rPr>
            </w:pPr>
            <w:r w:rsidRPr="00835308">
              <w:rPr>
                <w:b/>
                <w:sz w:val="18"/>
                <w:szCs w:val="18"/>
              </w:rPr>
              <w:t>Fractions</w:t>
            </w:r>
            <w:r w:rsidR="00835308" w:rsidRPr="00835308">
              <w:rPr>
                <w:b/>
                <w:sz w:val="18"/>
                <w:szCs w:val="18"/>
              </w:rPr>
              <w:t>, decimals and percentages</w:t>
            </w:r>
            <w:r w:rsidRPr="00835308">
              <w:rPr>
                <w:b/>
                <w:sz w:val="18"/>
                <w:szCs w:val="18"/>
              </w:rPr>
              <w:t>:</w:t>
            </w:r>
            <w:r w:rsidRPr="00835308">
              <w:rPr>
                <w:sz w:val="18"/>
                <w:szCs w:val="18"/>
              </w:rPr>
              <w:t xml:space="preserve"> </w:t>
            </w:r>
          </w:p>
          <w:p w:rsidR="009715CC"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Compare and order, add and subtract fractions whose denominators are all multiples of the same number </w:t>
            </w:r>
          </w:p>
          <w:p w:rsidR="00CB3EDD" w:rsidRPr="009715CC" w:rsidRDefault="009715CC" w:rsidP="009715CC">
            <w:pPr>
              <w:pStyle w:val="Standard"/>
              <w:rPr>
                <w:rFonts w:asciiTheme="minorHAnsi" w:hAnsiTheme="minorHAnsi"/>
                <w:sz w:val="18"/>
                <w:szCs w:val="18"/>
              </w:rPr>
            </w:pPr>
            <w:r w:rsidRPr="009715CC">
              <w:rPr>
                <w:rFonts w:asciiTheme="minorHAnsi" w:hAnsiTheme="minorHAnsi"/>
                <w:sz w:val="18"/>
                <w:szCs w:val="18"/>
              </w:rPr>
              <w:t xml:space="preserve">Recognise mixed numbers and improper fractions. </w:t>
            </w:r>
          </w:p>
        </w:tc>
      </w:tr>
      <w:tr w:rsidR="00977F7A" w:rsidTr="003E7632">
        <w:trPr>
          <w:trHeight w:val="570"/>
        </w:trPr>
        <w:tc>
          <w:tcPr>
            <w:tcW w:w="4503" w:type="dxa"/>
            <w:gridSpan w:val="2"/>
            <w:shd w:val="pct12" w:color="auto" w:fill="auto"/>
            <w:vAlign w:val="center"/>
          </w:tcPr>
          <w:p w:rsidR="00977F7A" w:rsidRPr="00DC7014" w:rsidRDefault="00282E01">
            <w:pPr>
              <w:jc w:val="center"/>
              <w:rPr>
                <w:b/>
                <w:color w:val="FF0000"/>
                <w:highlight w:val="yellow"/>
              </w:rPr>
            </w:pPr>
            <w:r w:rsidRPr="00C05F84">
              <w:rPr>
                <w:b/>
                <w:sz w:val="28"/>
              </w:rPr>
              <w:t>Science</w:t>
            </w:r>
          </w:p>
        </w:tc>
        <w:tc>
          <w:tcPr>
            <w:tcW w:w="6804" w:type="dxa"/>
            <w:gridSpan w:val="3"/>
            <w:vMerge w:val="restart"/>
            <w:shd w:val="pct12" w:color="auto" w:fill="auto"/>
            <w:vAlign w:val="center"/>
          </w:tcPr>
          <w:p w:rsidR="00977F7A" w:rsidRDefault="005972EA">
            <w:pPr>
              <w:jc w:val="center"/>
              <w:rPr>
                <w:rFonts w:cs="Arial"/>
                <w:b/>
                <w:sz w:val="28"/>
              </w:rPr>
            </w:pPr>
            <w:r>
              <w:rPr>
                <w:rFonts w:cs="Arial"/>
                <w:b/>
                <w:sz w:val="28"/>
              </w:rPr>
              <w:t>Silver-Birch</w:t>
            </w:r>
            <w:r w:rsidR="00DC7014">
              <w:rPr>
                <w:rFonts w:cs="Arial"/>
                <w:b/>
                <w:sz w:val="28"/>
              </w:rPr>
              <w:t xml:space="preserve"> </w:t>
            </w:r>
            <w:r w:rsidR="007A4283">
              <w:rPr>
                <w:rFonts w:cs="Arial"/>
                <w:b/>
                <w:sz w:val="28"/>
              </w:rPr>
              <w:t>Class</w:t>
            </w:r>
            <w:r w:rsidR="00282E01">
              <w:rPr>
                <w:rFonts w:cs="Arial"/>
                <w:b/>
                <w:sz w:val="28"/>
              </w:rPr>
              <w:t xml:space="preserve"> Topic Web </w:t>
            </w:r>
          </w:p>
          <w:p w:rsidR="00977F7A" w:rsidRDefault="00DC7014">
            <w:pPr>
              <w:jc w:val="center"/>
              <w:rPr>
                <w:rFonts w:cs="Arial"/>
                <w:b/>
                <w:sz w:val="28"/>
              </w:rPr>
            </w:pPr>
            <w:r>
              <w:rPr>
                <w:rFonts w:cs="Arial"/>
                <w:b/>
                <w:sz w:val="28"/>
              </w:rPr>
              <w:t>Autumn 1</w:t>
            </w:r>
            <w:r w:rsidR="00CD4F03">
              <w:rPr>
                <w:rFonts w:cs="Arial"/>
                <w:b/>
                <w:sz w:val="28"/>
              </w:rPr>
              <w:t xml:space="preserve"> 2017</w:t>
            </w:r>
          </w:p>
        </w:tc>
        <w:tc>
          <w:tcPr>
            <w:tcW w:w="4515" w:type="dxa"/>
            <w:gridSpan w:val="2"/>
            <w:shd w:val="pct12" w:color="auto" w:fill="auto"/>
            <w:vAlign w:val="center"/>
          </w:tcPr>
          <w:p w:rsidR="00977F7A" w:rsidRPr="00DC7014" w:rsidRDefault="00574DBE" w:rsidP="00C96365">
            <w:pPr>
              <w:jc w:val="center"/>
              <w:rPr>
                <w:b/>
                <w:highlight w:val="yellow"/>
              </w:rPr>
            </w:pPr>
            <w:r w:rsidRPr="00367685">
              <w:rPr>
                <w:b/>
                <w:sz w:val="28"/>
              </w:rPr>
              <w:t xml:space="preserve">History </w:t>
            </w:r>
          </w:p>
        </w:tc>
      </w:tr>
      <w:tr w:rsidR="00977F7A" w:rsidTr="003E7632">
        <w:trPr>
          <w:trHeight w:val="293"/>
        </w:trPr>
        <w:tc>
          <w:tcPr>
            <w:tcW w:w="4503" w:type="dxa"/>
            <w:gridSpan w:val="2"/>
            <w:vMerge w:val="restart"/>
          </w:tcPr>
          <w:p w:rsidR="00977F7A" w:rsidRPr="00DC7014" w:rsidRDefault="00C05F84" w:rsidP="008D7FCD">
            <w:pPr>
              <w:rPr>
                <w:color w:val="FF0000"/>
                <w:sz w:val="18"/>
                <w:highlight w:val="yellow"/>
              </w:rPr>
            </w:pPr>
            <w:r w:rsidRPr="00C05F84">
              <w:rPr>
                <w:sz w:val="18"/>
              </w:rPr>
              <w:t>Within science this half term, we will be exploring the different forces that govern the world we live in. The children will be designing a variety of experiments that illustrate the effects of friction, water</w:t>
            </w:r>
            <w:r>
              <w:rPr>
                <w:sz w:val="18"/>
              </w:rPr>
              <w:t xml:space="preserve"> </w:t>
            </w:r>
            <w:r w:rsidRPr="00C05F84">
              <w:rPr>
                <w:sz w:val="18"/>
              </w:rPr>
              <w:t>resistance</w:t>
            </w:r>
            <w:r>
              <w:rPr>
                <w:sz w:val="18"/>
              </w:rPr>
              <w:t xml:space="preserve">, upthrust, air résistance and  gravity. We will also be exploring the use of gears, cogs, pulleys and levers within our society and how they assist us within our lives.  </w:t>
            </w:r>
          </w:p>
        </w:tc>
        <w:tc>
          <w:tcPr>
            <w:tcW w:w="6804" w:type="dxa"/>
            <w:gridSpan w:val="3"/>
            <w:vMerge/>
            <w:tcBorders>
              <w:bottom w:val="single" w:sz="4" w:space="0" w:color="auto"/>
            </w:tcBorders>
            <w:shd w:val="pct12" w:color="auto" w:fill="auto"/>
          </w:tcPr>
          <w:p w:rsidR="00977F7A" w:rsidRDefault="00977F7A"/>
        </w:tc>
        <w:tc>
          <w:tcPr>
            <w:tcW w:w="4515" w:type="dxa"/>
            <w:gridSpan w:val="2"/>
            <w:vMerge w:val="restart"/>
          </w:tcPr>
          <w:p w:rsidR="00AE079A" w:rsidRPr="00DC7014" w:rsidRDefault="00367685" w:rsidP="006D2492">
            <w:pPr>
              <w:rPr>
                <w:sz w:val="17"/>
                <w:szCs w:val="17"/>
                <w:highlight w:val="yellow"/>
              </w:rPr>
            </w:pPr>
            <w:r w:rsidRPr="0089275F">
              <w:rPr>
                <w:sz w:val="18"/>
                <w:szCs w:val="18"/>
              </w:rPr>
              <w:t>In History this half term, we will be exploring wher</w:t>
            </w:r>
            <w:r>
              <w:rPr>
                <w:sz w:val="18"/>
                <w:szCs w:val="18"/>
              </w:rPr>
              <w:t>e Egypt is, the River Nile and d</w:t>
            </w:r>
            <w:r w:rsidRPr="0089275F">
              <w:rPr>
                <w:sz w:val="18"/>
                <w:szCs w:val="18"/>
              </w:rPr>
              <w:t xml:space="preserve">aily life. We will </w:t>
            </w:r>
            <w:r>
              <w:rPr>
                <w:sz w:val="18"/>
                <w:szCs w:val="18"/>
              </w:rPr>
              <w:t>also be looking at the Rosetta S</w:t>
            </w:r>
            <w:r w:rsidRPr="0089275F">
              <w:rPr>
                <w:sz w:val="18"/>
                <w:szCs w:val="18"/>
              </w:rPr>
              <w:t>tone and decoding and creating our own hieroglyphics. The children will also explore pyramids and pharaohs including the famous Tutankhamun. They will also learn about mummification.</w:t>
            </w:r>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3"/>
            <w:tcBorders>
              <w:bottom w:val="single" w:sz="4" w:space="0" w:color="auto"/>
            </w:tcBorders>
            <w:vAlign w:val="center"/>
          </w:tcPr>
          <w:p w:rsidR="00DC4719" w:rsidRDefault="00DC4719" w:rsidP="00AA79BC">
            <w:pPr>
              <w:rPr>
                <w:rFonts w:cs="Arial"/>
                <w:b/>
                <w:color w:val="1F497D" w:themeColor="text2"/>
                <w:sz w:val="44"/>
              </w:rPr>
            </w:pPr>
            <w:r>
              <w:rPr>
                <w:noProof/>
                <w:lang w:val="en-GB" w:eastAsia="en-GB"/>
              </w:rPr>
              <mc:AlternateContent>
                <mc:Choice Requires="wps">
                  <w:drawing>
                    <wp:anchor distT="0" distB="0" distL="114300" distR="114300" simplePos="0" relativeHeight="251661824" behindDoc="0" locked="0" layoutInCell="1" allowOverlap="1" wp14:anchorId="438347C1" wp14:editId="1E6481F8">
                      <wp:simplePos x="0" y="0"/>
                      <wp:positionH relativeFrom="column">
                        <wp:posOffset>7620</wp:posOffset>
                      </wp:positionH>
                      <wp:positionV relativeFrom="paragraph">
                        <wp:posOffset>5080</wp:posOffset>
                      </wp:positionV>
                      <wp:extent cx="2186305" cy="618490"/>
                      <wp:effectExtent l="0" t="0" r="23495" b="10160"/>
                      <wp:wrapNone/>
                      <wp:docPr id="2" name="Rounded Rectangle 2"/>
                      <wp:cNvGraphicFramePr/>
                      <a:graphic xmlns:a="http://schemas.openxmlformats.org/drawingml/2006/main">
                        <a:graphicData uri="http://schemas.microsoft.com/office/word/2010/wordprocessingShape">
                          <wps:wsp>
                            <wps:cNvSpPr/>
                            <wps:spPr>
                              <a:xfrm>
                                <a:off x="0" y="0"/>
                                <a:ext cx="2186305" cy="61849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B80" w:rsidRPr="00980B80" w:rsidRDefault="00980B80" w:rsidP="00980B80">
                                  <w:pPr>
                                    <w:jc w:val="center"/>
                                    <w:rPr>
                                      <w:b/>
                                      <w:color w:val="F79646" w:themeColor="accent6"/>
                                      <w:sz w:val="36"/>
                                      <w:szCs w:val="36"/>
                                    </w:rPr>
                                  </w:pPr>
                                  <w:r w:rsidRPr="00980B80">
                                    <w:rPr>
                                      <w:b/>
                                      <w:color w:val="F79646" w:themeColor="accent6"/>
                                      <w:sz w:val="36"/>
                                      <w:szCs w:val="36"/>
                                    </w:rPr>
                                    <w:t>Tomb Raiders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pt;margin-top:.4pt;width:172.15pt;height:4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" fillcolor="#fbd4b4 [1305]" strokecolor="black [3213]" strokeweight="2pt">
                      <v:textbox>
                        <w:txbxContent>
                          <w:p w:rsidR="00980B80" w:rsidRPr="00980B80" w:rsidRDefault="00980B80" w:rsidP="00980B80">
                            <w:pPr>
                              <w:jc w:val="center"/>
                              <w:rPr>
                                <w:b/>
                                <w:color w:val="F79646" w:themeColor="accent6"/>
                                <w:sz w:val="36"/>
                                <w:szCs w:val="36"/>
                              </w:rPr>
                            </w:pPr>
                            <w:r w:rsidRPr="00980B80">
                              <w:rPr>
                                <w:b/>
                                <w:color w:val="F79646" w:themeColor="accent6"/>
                                <w:sz w:val="36"/>
                                <w:szCs w:val="36"/>
                              </w:rPr>
                              <w:t>Tomb Raiders</w:t>
                            </w:r>
                          </w:p>
                        </w:txbxContent>
                      </v:textbox>
                    </v:roundrect>
                  </w:pict>
                </mc:Fallback>
              </mc:AlternateContent>
            </w:r>
            <w:r>
              <w:rPr>
                <w:noProof/>
                <w:lang w:val="en-GB" w:eastAsia="en-GB"/>
              </w:rPr>
              <w:drawing>
                <wp:anchor distT="0" distB="0" distL="114300" distR="114300" simplePos="0" relativeHeight="251663872" behindDoc="0" locked="0" layoutInCell="1" allowOverlap="1" wp14:anchorId="10DACC2E" wp14:editId="34D7C652">
                  <wp:simplePos x="0" y="0"/>
                  <wp:positionH relativeFrom="column">
                    <wp:posOffset>-220980</wp:posOffset>
                  </wp:positionH>
                  <wp:positionV relativeFrom="paragraph">
                    <wp:posOffset>-506730</wp:posOffset>
                  </wp:positionV>
                  <wp:extent cx="800100" cy="657225"/>
                  <wp:effectExtent l="0" t="0" r="0" b="9525"/>
                  <wp:wrapSquare wrapText="bothSides"/>
                  <wp:docPr id="3" name="Picture 3" descr="Image result for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t egy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F7A" w:rsidRPr="00DC4719" w:rsidRDefault="00DC4719" w:rsidP="00DC4719">
            <w:pPr>
              <w:rPr>
                <w:rFonts w:cs="Arial"/>
                <w:sz w:val="44"/>
              </w:rPr>
            </w:pPr>
            <w:r>
              <w:rPr>
                <w:noProof/>
                <w:lang w:val="en-GB" w:eastAsia="en-GB"/>
              </w:rPr>
              <w:drawing>
                <wp:anchor distT="0" distB="0" distL="114300" distR="114300" simplePos="0" relativeHeight="251665920" behindDoc="0" locked="0" layoutInCell="1" allowOverlap="1" wp14:anchorId="54E007D0" wp14:editId="3198901A">
                  <wp:simplePos x="0" y="0"/>
                  <wp:positionH relativeFrom="column">
                    <wp:posOffset>2381885</wp:posOffset>
                  </wp:positionH>
                  <wp:positionV relativeFrom="paragraph">
                    <wp:posOffset>-367030</wp:posOffset>
                  </wp:positionV>
                  <wp:extent cx="1048385" cy="692785"/>
                  <wp:effectExtent l="0" t="0" r="0" b="0"/>
                  <wp:wrapSquare wrapText="bothSides"/>
                  <wp:docPr id="1" name="Picture 1" descr="Image result for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egy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5" w:type="dxa"/>
            <w:gridSpan w:val="2"/>
            <w:vMerge/>
            <w:tcBorders>
              <w:bottom w:val="single" w:sz="4" w:space="0" w:color="auto"/>
            </w:tcBorders>
          </w:tcPr>
          <w:p w:rsidR="00977F7A" w:rsidRPr="00DC7014" w:rsidRDefault="00977F7A">
            <w:pPr>
              <w:rPr>
                <w:sz w:val="22"/>
                <w:highlight w:val="yellow"/>
              </w:rPr>
            </w:pPr>
          </w:p>
        </w:tc>
      </w:tr>
      <w:tr w:rsidR="00835308" w:rsidTr="00835308">
        <w:trPr>
          <w:trHeight w:val="571"/>
        </w:trPr>
        <w:tc>
          <w:tcPr>
            <w:tcW w:w="2235" w:type="dxa"/>
            <w:shd w:val="pct12" w:color="auto" w:fill="auto"/>
            <w:vAlign w:val="center"/>
          </w:tcPr>
          <w:p w:rsidR="00835308" w:rsidRPr="00DC7014" w:rsidRDefault="00835308">
            <w:pPr>
              <w:jc w:val="center"/>
              <w:rPr>
                <w:b/>
              </w:rPr>
            </w:pPr>
            <w:r w:rsidRPr="00DC7014">
              <w:rPr>
                <w:b/>
                <w:sz w:val="28"/>
              </w:rPr>
              <w:t>RE</w:t>
            </w:r>
          </w:p>
        </w:tc>
        <w:tc>
          <w:tcPr>
            <w:tcW w:w="2268" w:type="dxa"/>
            <w:shd w:val="pct12" w:color="auto" w:fill="auto"/>
            <w:vAlign w:val="center"/>
          </w:tcPr>
          <w:p w:rsidR="00835308" w:rsidRPr="00DC7014" w:rsidRDefault="00835308">
            <w:pPr>
              <w:jc w:val="center"/>
              <w:rPr>
                <w:b/>
              </w:rPr>
            </w:pPr>
            <w:r w:rsidRPr="00DC7014">
              <w:rPr>
                <w:b/>
                <w:sz w:val="28"/>
              </w:rPr>
              <w:t>PSHE</w:t>
            </w:r>
          </w:p>
        </w:tc>
        <w:tc>
          <w:tcPr>
            <w:tcW w:w="3685" w:type="dxa"/>
            <w:gridSpan w:val="2"/>
            <w:shd w:val="pct12" w:color="auto" w:fill="auto"/>
            <w:vAlign w:val="center"/>
          </w:tcPr>
          <w:p w:rsidR="00835308" w:rsidRPr="00DC7014" w:rsidRDefault="00835308">
            <w:pPr>
              <w:jc w:val="center"/>
              <w:rPr>
                <w:b/>
                <w:color w:val="FF0000"/>
                <w:sz w:val="28"/>
                <w:highlight w:val="yellow"/>
              </w:rPr>
            </w:pPr>
            <w:r w:rsidRPr="00AA79BC">
              <w:rPr>
                <w:b/>
                <w:sz w:val="28"/>
              </w:rPr>
              <w:t>D&amp;T</w:t>
            </w:r>
          </w:p>
        </w:tc>
        <w:tc>
          <w:tcPr>
            <w:tcW w:w="3119" w:type="dxa"/>
            <w:shd w:val="pct12" w:color="auto" w:fill="auto"/>
            <w:vAlign w:val="center"/>
          </w:tcPr>
          <w:p w:rsidR="00835308" w:rsidRPr="00DC7014" w:rsidRDefault="00835308">
            <w:pPr>
              <w:jc w:val="center"/>
              <w:rPr>
                <w:b/>
                <w:sz w:val="28"/>
                <w:highlight w:val="yellow"/>
              </w:rPr>
            </w:pPr>
            <w:r w:rsidRPr="0010003F">
              <w:rPr>
                <w:b/>
                <w:sz w:val="28"/>
              </w:rPr>
              <w:t>PE</w:t>
            </w:r>
          </w:p>
        </w:tc>
        <w:tc>
          <w:tcPr>
            <w:tcW w:w="2976" w:type="dxa"/>
            <w:shd w:val="pct12" w:color="auto" w:fill="auto"/>
            <w:vAlign w:val="center"/>
          </w:tcPr>
          <w:p w:rsidR="00835308" w:rsidRPr="00DC7014" w:rsidRDefault="00835308">
            <w:pPr>
              <w:jc w:val="center"/>
              <w:rPr>
                <w:b/>
                <w:sz w:val="28"/>
                <w:highlight w:val="yellow"/>
              </w:rPr>
            </w:pPr>
            <w:r w:rsidRPr="00C05F84">
              <w:rPr>
                <w:b/>
                <w:sz w:val="28"/>
              </w:rPr>
              <w:t>Computing</w:t>
            </w:r>
            <w:r>
              <w:rPr>
                <w:b/>
                <w:sz w:val="28"/>
                <w:highlight w:val="yellow"/>
              </w:rPr>
              <w:t xml:space="preserve"> </w:t>
            </w:r>
          </w:p>
        </w:tc>
        <w:tc>
          <w:tcPr>
            <w:tcW w:w="1539" w:type="dxa"/>
            <w:shd w:val="pct12" w:color="auto" w:fill="auto"/>
            <w:vAlign w:val="center"/>
          </w:tcPr>
          <w:p w:rsidR="00835308" w:rsidRPr="00574DBE" w:rsidRDefault="00835308">
            <w:pPr>
              <w:jc w:val="center"/>
              <w:rPr>
                <w:b/>
                <w:color w:val="FF0000"/>
                <w:sz w:val="28"/>
              </w:rPr>
            </w:pPr>
            <w:r w:rsidRPr="00574DBE">
              <w:rPr>
                <w:b/>
                <w:sz w:val="28"/>
              </w:rPr>
              <w:t>Music</w:t>
            </w:r>
          </w:p>
        </w:tc>
      </w:tr>
      <w:tr w:rsidR="00835308" w:rsidTr="00835308">
        <w:trPr>
          <w:trHeight w:val="1685"/>
        </w:trPr>
        <w:tc>
          <w:tcPr>
            <w:tcW w:w="2235" w:type="dxa"/>
          </w:tcPr>
          <w:p w:rsidR="00835308" w:rsidRPr="00DC7014" w:rsidRDefault="00835308" w:rsidP="006D2492">
            <w:pPr>
              <w:rPr>
                <w:sz w:val="18"/>
                <w:szCs w:val="18"/>
              </w:rPr>
            </w:pPr>
            <w:r w:rsidRPr="00DC7014">
              <w:rPr>
                <w:sz w:val="18"/>
                <w:szCs w:val="18"/>
              </w:rPr>
              <w:t xml:space="preserve">In Religious Studies this half term, we will be looking at Creation and Fall in Christianity. This will involve looking at what God created and the guidelines set out in order to look after the creation. </w:t>
            </w:r>
          </w:p>
        </w:tc>
        <w:tc>
          <w:tcPr>
            <w:tcW w:w="2268" w:type="dxa"/>
          </w:tcPr>
          <w:p w:rsidR="00835308" w:rsidRPr="00574DBE" w:rsidRDefault="00835308" w:rsidP="006D2492">
            <w:pPr>
              <w:rPr>
                <w:sz w:val="18"/>
                <w:szCs w:val="18"/>
              </w:rPr>
            </w:pPr>
            <w:r w:rsidRPr="00574DBE">
              <w:rPr>
                <w:sz w:val="18"/>
                <w:szCs w:val="18"/>
              </w:rPr>
              <w:t xml:space="preserve">In PSHE this half term, we will be discussing new beginnings. We will be looking at joining new groups, welcoming people into groups and how to join in with others. We will also make new class promises. </w:t>
            </w:r>
          </w:p>
        </w:tc>
        <w:tc>
          <w:tcPr>
            <w:tcW w:w="3685" w:type="dxa"/>
            <w:gridSpan w:val="2"/>
          </w:tcPr>
          <w:p w:rsidR="00835308" w:rsidRPr="00DC7014" w:rsidRDefault="00835308" w:rsidP="00574DBE">
            <w:pPr>
              <w:rPr>
                <w:color w:val="FF0000"/>
                <w:sz w:val="18"/>
                <w:szCs w:val="18"/>
                <w:highlight w:val="yellow"/>
              </w:rPr>
            </w:pPr>
            <w:r w:rsidRPr="00C05F84">
              <w:rPr>
                <w:sz w:val="18"/>
                <w:szCs w:val="18"/>
              </w:rPr>
              <w:t xml:space="preserve">Over the half term, the children will be researching the Egyptian’s use of papyrus and canopic jars. They will create a variety of designs before deciding on one to make and evaluate. They will be learning the skills of cutting, shaping, joining and finishing a variety of materials. </w:t>
            </w:r>
          </w:p>
        </w:tc>
        <w:tc>
          <w:tcPr>
            <w:tcW w:w="3119" w:type="dxa"/>
          </w:tcPr>
          <w:p w:rsidR="0003314D" w:rsidRPr="00105BAA" w:rsidRDefault="0003314D" w:rsidP="0003314D">
            <w:pPr>
              <w:rPr>
                <w:sz w:val="18"/>
                <w:szCs w:val="18"/>
                <w:u w:val="single"/>
              </w:rPr>
            </w:pPr>
            <w:r>
              <w:rPr>
                <w:sz w:val="18"/>
                <w:szCs w:val="18"/>
              </w:rPr>
              <w:t xml:space="preserve">The children will be working with the sports coach, taking part in a variety of sports over the course of the year. </w:t>
            </w:r>
          </w:p>
          <w:p w:rsidR="00835308" w:rsidRPr="00835308" w:rsidRDefault="00835308" w:rsidP="00CD4F03">
            <w:pPr>
              <w:rPr>
                <w:sz w:val="18"/>
                <w:szCs w:val="18"/>
              </w:rPr>
            </w:pPr>
            <w:r w:rsidRPr="00835308">
              <w:rPr>
                <w:sz w:val="18"/>
                <w:szCs w:val="18"/>
              </w:rPr>
              <w:t>Our first PE unit this year will be tag rugby.</w:t>
            </w:r>
          </w:p>
          <w:p w:rsidR="00835308" w:rsidRPr="00DC7014" w:rsidRDefault="00835308" w:rsidP="00CD4F03">
            <w:pPr>
              <w:rPr>
                <w:sz w:val="18"/>
                <w:szCs w:val="18"/>
                <w:highlight w:val="yellow"/>
              </w:rPr>
            </w:pPr>
          </w:p>
        </w:tc>
        <w:tc>
          <w:tcPr>
            <w:tcW w:w="2976" w:type="dxa"/>
          </w:tcPr>
          <w:p w:rsidR="00835308" w:rsidRPr="00DC7014" w:rsidRDefault="00835308" w:rsidP="003D6F4B">
            <w:pPr>
              <w:rPr>
                <w:sz w:val="18"/>
                <w:szCs w:val="18"/>
                <w:highlight w:val="yellow"/>
              </w:rPr>
            </w:pPr>
            <w:r>
              <w:rPr>
                <w:sz w:val="18"/>
                <w:szCs w:val="18"/>
              </w:rPr>
              <w:t xml:space="preserve">The children will be learning how to use block coding to create games and animations using an ICT learning tool called Purple Mash. Usernames and passwords for this learning tool will be glued into the children’s homework diaries so they can access the content we explore in school, from home.   </w:t>
            </w:r>
          </w:p>
        </w:tc>
        <w:tc>
          <w:tcPr>
            <w:tcW w:w="1539" w:type="dxa"/>
          </w:tcPr>
          <w:p w:rsidR="00835308" w:rsidRPr="00574DBE" w:rsidRDefault="00835308" w:rsidP="007A4283">
            <w:pPr>
              <w:rPr>
                <w:color w:val="FF0000"/>
                <w:sz w:val="18"/>
                <w:szCs w:val="18"/>
              </w:rPr>
            </w:pPr>
            <w:r w:rsidRPr="00574DBE">
              <w:rPr>
                <w:sz w:val="18"/>
                <w:szCs w:val="18"/>
              </w:rPr>
              <w:t xml:space="preserve">This half term, we will be learning to play the Ukelele.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9D0"/>
    <w:multiLevelType w:val="hybridMultilevel"/>
    <w:tmpl w:val="A36AC046"/>
    <w:lvl w:ilvl="0" w:tplc="990E3C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837D32"/>
    <w:multiLevelType w:val="hybridMultilevel"/>
    <w:tmpl w:val="D71027B4"/>
    <w:lvl w:ilvl="0" w:tplc="AD64526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9"/>
  </w:num>
  <w:num w:numId="5">
    <w:abstractNumId w:val="11"/>
  </w:num>
  <w:num w:numId="6">
    <w:abstractNumId w:val="7"/>
  </w:num>
  <w:num w:numId="7">
    <w:abstractNumId w:val="3"/>
  </w:num>
  <w:num w:numId="8">
    <w:abstractNumId w:val="8"/>
  </w:num>
  <w:num w:numId="9">
    <w:abstractNumId w:val="5"/>
  </w:num>
  <w:num w:numId="10">
    <w:abstractNumId w:val="6"/>
  </w:num>
  <w:num w:numId="11">
    <w:abstractNumId w:val="14"/>
  </w:num>
  <w:num w:numId="12">
    <w:abstractNumId w:val="13"/>
  </w:num>
  <w:num w:numId="13">
    <w:abstractNumId w:val="15"/>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3314D"/>
    <w:rsid w:val="00085F74"/>
    <w:rsid w:val="000A3C93"/>
    <w:rsid w:val="000C2336"/>
    <w:rsid w:val="000C639F"/>
    <w:rsid w:val="000F47BB"/>
    <w:rsid w:val="0010003F"/>
    <w:rsid w:val="0010563D"/>
    <w:rsid w:val="001132CF"/>
    <w:rsid w:val="0011566B"/>
    <w:rsid w:val="001217E7"/>
    <w:rsid w:val="00132A32"/>
    <w:rsid w:val="00136E64"/>
    <w:rsid w:val="00151BC5"/>
    <w:rsid w:val="00171059"/>
    <w:rsid w:val="001B3D81"/>
    <w:rsid w:val="001B5187"/>
    <w:rsid w:val="001C3062"/>
    <w:rsid w:val="001D43E8"/>
    <w:rsid w:val="0026188A"/>
    <w:rsid w:val="00282E01"/>
    <w:rsid w:val="00294D8D"/>
    <w:rsid w:val="002B2D99"/>
    <w:rsid w:val="00343E2C"/>
    <w:rsid w:val="00344E8B"/>
    <w:rsid w:val="00366DB4"/>
    <w:rsid w:val="00367685"/>
    <w:rsid w:val="003D6F4B"/>
    <w:rsid w:val="003E6A82"/>
    <w:rsid w:val="003E7632"/>
    <w:rsid w:val="00425A17"/>
    <w:rsid w:val="0045067E"/>
    <w:rsid w:val="004D155F"/>
    <w:rsid w:val="004E0B86"/>
    <w:rsid w:val="004E794C"/>
    <w:rsid w:val="00505E61"/>
    <w:rsid w:val="00521AE2"/>
    <w:rsid w:val="00574DBE"/>
    <w:rsid w:val="00594731"/>
    <w:rsid w:val="005972EA"/>
    <w:rsid w:val="005E2C06"/>
    <w:rsid w:val="006540BF"/>
    <w:rsid w:val="00655713"/>
    <w:rsid w:val="0067091F"/>
    <w:rsid w:val="006761C5"/>
    <w:rsid w:val="006855C4"/>
    <w:rsid w:val="006904B1"/>
    <w:rsid w:val="006B7623"/>
    <w:rsid w:val="006B77D3"/>
    <w:rsid w:val="006D2492"/>
    <w:rsid w:val="006D7979"/>
    <w:rsid w:val="006E1533"/>
    <w:rsid w:val="007064E6"/>
    <w:rsid w:val="00707744"/>
    <w:rsid w:val="00725663"/>
    <w:rsid w:val="00740DEB"/>
    <w:rsid w:val="00744C82"/>
    <w:rsid w:val="00752DC8"/>
    <w:rsid w:val="007716EA"/>
    <w:rsid w:val="0078476B"/>
    <w:rsid w:val="00793642"/>
    <w:rsid w:val="007A4283"/>
    <w:rsid w:val="00835308"/>
    <w:rsid w:val="00836486"/>
    <w:rsid w:val="008678B5"/>
    <w:rsid w:val="00875953"/>
    <w:rsid w:val="008848F2"/>
    <w:rsid w:val="008920D8"/>
    <w:rsid w:val="008D7FCD"/>
    <w:rsid w:val="008E3A76"/>
    <w:rsid w:val="009715CC"/>
    <w:rsid w:val="00977F7A"/>
    <w:rsid w:val="0098073C"/>
    <w:rsid w:val="00980B80"/>
    <w:rsid w:val="00981C51"/>
    <w:rsid w:val="009F1660"/>
    <w:rsid w:val="009F4060"/>
    <w:rsid w:val="00A25265"/>
    <w:rsid w:val="00A32D24"/>
    <w:rsid w:val="00A33720"/>
    <w:rsid w:val="00A342CC"/>
    <w:rsid w:val="00A376B9"/>
    <w:rsid w:val="00A828E5"/>
    <w:rsid w:val="00A97C75"/>
    <w:rsid w:val="00AA79BC"/>
    <w:rsid w:val="00AE079A"/>
    <w:rsid w:val="00AF1D26"/>
    <w:rsid w:val="00B030FF"/>
    <w:rsid w:val="00B05FCC"/>
    <w:rsid w:val="00B15023"/>
    <w:rsid w:val="00B154F2"/>
    <w:rsid w:val="00B17D51"/>
    <w:rsid w:val="00B41E1C"/>
    <w:rsid w:val="00B83488"/>
    <w:rsid w:val="00BD546F"/>
    <w:rsid w:val="00BE1738"/>
    <w:rsid w:val="00BE53B7"/>
    <w:rsid w:val="00C05F84"/>
    <w:rsid w:val="00C22D84"/>
    <w:rsid w:val="00C44102"/>
    <w:rsid w:val="00C57C68"/>
    <w:rsid w:val="00C729A7"/>
    <w:rsid w:val="00C812CA"/>
    <w:rsid w:val="00C96365"/>
    <w:rsid w:val="00CA72F3"/>
    <w:rsid w:val="00CB3EDD"/>
    <w:rsid w:val="00CC12B7"/>
    <w:rsid w:val="00CD4F03"/>
    <w:rsid w:val="00CF3B86"/>
    <w:rsid w:val="00D86599"/>
    <w:rsid w:val="00DC4719"/>
    <w:rsid w:val="00DC6CAD"/>
    <w:rsid w:val="00DC7014"/>
    <w:rsid w:val="00DE14D2"/>
    <w:rsid w:val="00E44BC1"/>
    <w:rsid w:val="00E47C14"/>
    <w:rsid w:val="00ED598E"/>
    <w:rsid w:val="00EF3ACE"/>
    <w:rsid w:val="00F013B8"/>
    <w:rsid w:val="00F032B8"/>
    <w:rsid w:val="00F45E8C"/>
    <w:rsid w:val="00F52727"/>
    <w:rsid w:val="00F62D75"/>
    <w:rsid w:val="00F6736B"/>
    <w:rsid w:val="00F910C1"/>
    <w:rsid w:val="00FB57A0"/>
    <w:rsid w:val="00FB656E"/>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 w:type="paragraph" w:customStyle="1" w:styleId="Default">
    <w:name w:val="Default"/>
    <w:rsid w:val="00835308"/>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835308"/>
    <w:pPr>
      <w:suppressAutoHyphens/>
      <w:autoSpaceDN w:val="0"/>
    </w:pPr>
    <w:rPr>
      <w:rFonts w:ascii="Cambria" w:eastAsia="Cambria" w:hAnsi="Cambria"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 w:type="paragraph" w:customStyle="1" w:styleId="Default">
    <w:name w:val="Default"/>
    <w:rsid w:val="00835308"/>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835308"/>
    <w:pPr>
      <w:suppressAutoHyphens/>
      <w:autoSpaceDN w:val="0"/>
    </w:pPr>
    <w:rPr>
      <w:rFonts w:ascii="Cambria" w:eastAsia="Cambria" w:hAnsi="Cambria"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9295">
      <w:bodyDiv w:val="1"/>
      <w:marLeft w:val="0"/>
      <w:marRight w:val="0"/>
      <w:marTop w:val="0"/>
      <w:marBottom w:val="0"/>
      <w:divBdr>
        <w:top w:val="none" w:sz="0" w:space="0" w:color="auto"/>
        <w:left w:val="none" w:sz="0" w:space="0" w:color="auto"/>
        <w:bottom w:val="none" w:sz="0" w:space="0" w:color="auto"/>
        <w:right w:val="none" w:sz="0" w:space="0" w:color="auto"/>
      </w:divBdr>
    </w:div>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989288132">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441686471">
      <w:bodyDiv w:val="1"/>
      <w:marLeft w:val="0"/>
      <w:marRight w:val="0"/>
      <w:marTop w:val="0"/>
      <w:marBottom w:val="0"/>
      <w:divBdr>
        <w:top w:val="none" w:sz="0" w:space="0" w:color="auto"/>
        <w:left w:val="none" w:sz="0" w:space="0" w:color="auto"/>
        <w:bottom w:val="none" w:sz="0" w:space="0" w:color="auto"/>
        <w:right w:val="none" w:sz="0" w:space="0" w:color="auto"/>
      </w:divBdr>
    </w:div>
    <w:div w:id="1476409254">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 w:id="18895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BE2E-148B-4F90-9508-B13F70FF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2016-04-11T15:36:00Z</cp:lastPrinted>
  <dcterms:created xsi:type="dcterms:W3CDTF">2017-09-22T06:54:00Z</dcterms:created>
  <dcterms:modified xsi:type="dcterms:W3CDTF">2017-09-22T06:54:00Z</dcterms:modified>
</cp:coreProperties>
</file>