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22" w:type="dxa"/>
        <w:tblLook w:val="04A0" w:firstRow="1" w:lastRow="0" w:firstColumn="1" w:lastColumn="0" w:noHBand="0" w:noVBand="1"/>
      </w:tblPr>
      <w:tblGrid>
        <w:gridCol w:w="2235"/>
        <w:gridCol w:w="2268"/>
        <w:gridCol w:w="2268"/>
        <w:gridCol w:w="377"/>
        <w:gridCol w:w="2741"/>
        <w:gridCol w:w="1418"/>
        <w:gridCol w:w="2976"/>
        <w:gridCol w:w="1539"/>
      </w:tblGrid>
      <w:tr w:rsidR="00977F7A" w:rsidTr="00366BA8">
        <w:trPr>
          <w:trHeight w:val="551"/>
        </w:trPr>
        <w:tc>
          <w:tcPr>
            <w:tcW w:w="7148" w:type="dxa"/>
            <w:gridSpan w:val="4"/>
            <w:shd w:val="clear" w:color="auto" w:fill="E5DFEC" w:themeFill="accent4" w:themeFillTint="33"/>
            <w:vAlign w:val="center"/>
          </w:tcPr>
          <w:p w:rsidR="00977F7A" w:rsidRPr="00C336A4" w:rsidRDefault="00282E01">
            <w:pPr>
              <w:jc w:val="center"/>
              <w:rPr>
                <w:b/>
                <w:color w:val="FF0000"/>
                <w:sz w:val="28"/>
              </w:rPr>
            </w:pPr>
            <w:r w:rsidRPr="00C336A4">
              <w:rPr>
                <w:b/>
                <w:sz w:val="28"/>
              </w:rPr>
              <w:t>Literacy</w:t>
            </w:r>
          </w:p>
        </w:tc>
        <w:tc>
          <w:tcPr>
            <w:tcW w:w="8674" w:type="dxa"/>
            <w:gridSpan w:val="4"/>
            <w:shd w:val="clear" w:color="auto" w:fill="E5DFEC" w:themeFill="accent4" w:themeFillTint="33"/>
            <w:vAlign w:val="center"/>
          </w:tcPr>
          <w:p w:rsidR="00977F7A" w:rsidRPr="007C6CAE" w:rsidRDefault="00282E01">
            <w:pPr>
              <w:jc w:val="center"/>
              <w:rPr>
                <w:b/>
                <w:color w:val="FF0000"/>
                <w:sz w:val="28"/>
              </w:rPr>
            </w:pPr>
            <w:r w:rsidRPr="007C6CAE">
              <w:rPr>
                <w:b/>
                <w:sz w:val="28"/>
              </w:rPr>
              <w:t>Numeracy</w:t>
            </w:r>
          </w:p>
        </w:tc>
      </w:tr>
      <w:tr w:rsidR="00977F7A" w:rsidTr="00366BA8">
        <w:trPr>
          <w:trHeight w:val="3974"/>
        </w:trPr>
        <w:tc>
          <w:tcPr>
            <w:tcW w:w="7148" w:type="dxa"/>
            <w:gridSpan w:val="4"/>
            <w:tcBorders>
              <w:bottom w:val="single" w:sz="4" w:space="0" w:color="auto"/>
            </w:tcBorders>
          </w:tcPr>
          <w:p w:rsidR="00B15023" w:rsidRPr="00C336A4" w:rsidRDefault="00B15023">
            <w:pPr>
              <w:rPr>
                <w:b/>
                <w:sz w:val="18"/>
                <w:szCs w:val="17"/>
              </w:rPr>
            </w:pPr>
            <w:r w:rsidRPr="00C336A4">
              <w:rPr>
                <w:b/>
                <w:sz w:val="18"/>
                <w:szCs w:val="17"/>
              </w:rPr>
              <w:t>In literacy, this h</w:t>
            </w:r>
            <w:r w:rsidR="0010563D" w:rsidRPr="00C336A4">
              <w:rPr>
                <w:b/>
                <w:sz w:val="18"/>
                <w:szCs w:val="17"/>
              </w:rPr>
              <w:t xml:space="preserve">alf term, we will be looking at: </w:t>
            </w:r>
          </w:p>
          <w:p w:rsidR="0010563D" w:rsidRPr="00C336A4" w:rsidRDefault="0010563D">
            <w:pPr>
              <w:rPr>
                <w:b/>
                <w:sz w:val="18"/>
                <w:szCs w:val="17"/>
              </w:rPr>
            </w:pPr>
          </w:p>
          <w:p w:rsidR="00B15023" w:rsidRPr="00C336A4" w:rsidRDefault="00C336A4">
            <w:pPr>
              <w:rPr>
                <w:sz w:val="18"/>
                <w:szCs w:val="17"/>
              </w:rPr>
            </w:pPr>
            <w:r w:rsidRPr="00C336A4">
              <w:rPr>
                <w:b/>
                <w:sz w:val="18"/>
                <w:szCs w:val="17"/>
              </w:rPr>
              <w:t xml:space="preserve">Poetry: </w:t>
            </w:r>
            <w:r w:rsidRPr="00C336A4">
              <w:rPr>
                <w:sz w:val="18"/>
                <w:szCs w:val="17"/>
              </w:rPr>
              <w:t xml:space="preserve">We will be creating our own poem based on Brighstone beach after reading The Brook by Alfred Lord Tennyson. </w:t>
            </w:r>
            <w:r w:rsidR="00DC7014" w:rsidRPr="00C336A4">
              <w:rPr>
                <w:sz w:val="18"/>
                <w:szCs w:val="17"/>
              </w:rPr>
              <w:t xml:space="preserve"> </w:t>
            </w:r>
          </w:p>
          <w:p w:rsidR="00CF3B86" w:rsidRPr="00C336A4" w:rsidRDefault="00CF3B86">
            <w:pPr>
              <w:rPr>
                <w:sz w:val="18"/>
                <w:szCs w:val="17"/>
              </w:rPr>
            </w:pPr>
          </w:p>
          <w:p w:rsidR="00C336A4" w:rsidRPr="00C336A4" w:rsidRDefault="00C336A4">
            <w:pPr>
              <w:rPr>
                <w:sz w:val="18"/>
                <w:szCs w:val="17"/>
              </w:rPr>
            </w:pPr>
            <w:r w:rsidRPr="00C336A4">
              <w:rPr>
                <w:b/>
                <w:sz w:val="18"/>
                <w:szCs w:val="17"/>
              </w:rPr>
              <w:t>Non- Chronological Reports:</w:t>
            </w:r>
            <w:r w:rsidR="00CF3B86" w:rsidRPr="00C336A4">
              <w:rPr>
                <w:b/>
                <w:sz w:val="18"/>
                <w:szCs w:val="17"/>
              </w:rPr>
              <w:t xml:space="preserve"> </w:t>
            </w:r>
            <w:r w:rsidR="00DC7014" w:rsidRPr="00C336A4">
              <w:rPr>
                <w:sz w:val="18"/>
                <w:szCs w:val="17"/>
              </w:rPr>
              <w:t xml:space="preserve">We will be </w:t>
            </w:r>
            <w:r w:rsidRPr="00C336A4">
              <w:rPr>
                <w:sz w:val="18"/>
                <w:szCs w:val="17"/>
              </w:rPr>
              <w:t xml:space="preserve">writing a newspaper report on Toad’s great escape and car crash from Wind in the Willows. </w:t>
            </w:r>
          </w:p>
          <w:p w:rsidR="00CF3B86" w:rsidRPr="00C336A4" w:rsidRDefault="00C336A4">
            <w:pPr>
              <w:rPr>
                <w:sz w:val="18"/>
                <w:szCs w:val="17"/>
              </w:rPr>
            </w:pPr>
            <w:r w:rsidRPr="00C336A4">
              <w:rPr>
                <w:sz w:val="18"/>
                <w:szCs w:val="17"/>
              </w:rPr>
              <w:t xml:space="preserve"> </w:t>
            </w:r>
          </w:p>
          <w:p w:rsidR="00875953" w:rsidRPr="00C336A4" w:rsidRDefault="00875953" w:rsidP="00085F74">
            <w:pPr>
              <w:rPr>
                <w:b/>
                <w:sz w:val="18"/>
                <w:szCs w:val="17"/>
                <w:u w:val="single"/>
              </w:rPr>
            </w:pPr>
            <w:r w:rsidRPr="00C336A4">
              <w:rPr>
                <w:b/>
                <w:sz w:val="18"/>
                <w:szCs w:val="17"/>
                <w:u w:val="single"/>
              </w:rPr>
              <w:t>SPAG</w:t>
            </w:r>
          </w:p>
          <w:p w:rsidR="006D2492" w:rsidRPr="00C336A4" w:rsidRDefault="004E0B86" w:rsidP="00085F74">
            <w:pPr>
              <w:rPr>
                <w:sz w:val="17"/>
                <w:szCs w:val="17"/>
              </w:rPr>
            </w:pPr>
            <w:r w:rsidRPr="00C336A4">
              <w:rPr>
                <w:sz w:val="17"/>
                <w:szCs w:val="17"/>
              </w:rPr>
              <w:t xml:space="preserve">During the chidlren’s literacy lessons Spelling, Punctuation and Grammar is interweaved </w:t>
            </w:r>
            <w:r w:rsidRPr="005E2044">
              <w:rPr>
                <w:sz w:val="17"/>
                <w:szCs w:val="17"/>
              </w:rPr>
              <w:t xml:space="preserve">throughout. Over this half term the </w:t>
            </w:r>
            <w:r w:rsidR="00CF3B86" w:rsidRPr="005E2044">
              <w:rPr>
                <w:sz w:val="17"/>
                <w:szCs w:val="17"/>
              </w:rPr>
              <w:t xml:space="preserve">children will </w:t>
            </w:r>
            <w:r w:rsidR="005E2044" w:rsidRPr="005E2044">
              <w:rPr>
                <w:sz w:val="17"/>
                <w:szCs w:val="17"/>
              </w:rPr>
              <w:t xml:space="preserve">rich and varied vocabulary, figurative language, </w:t>
            </w:r>
            <w:r w:rsidR="00CF3B86" w:rsidRPr="005E2044">
              <w:rPr>
                <w:sz w:val="17"/>
                <w:szCs w:val="17"/>
              </w:rPr>
              <w:t xml:space="preserve">use a range of sentences, </w:t>
            </w:r>
            <w:r w:rsidR="005E2044" w:rsidRPr="005E2044">
              <w:rPr>
                <w:sz w:val="17"/>
                <w:szCs w:val="17"/>
              </w:rPr>
              <w:t>noun phrases, features of the texts discussed</w:t>
            </w:r>
            <w:r w:rsidR="00CF3B86" w:rsidRPr="005E2044">
              <w:rPr>
                <w:sz w:val="17"/>
                <w:szCs w:val="17"/>
              </w:rPr>
              <w:t>, use inverted commas and paragraphs around a theme. We will also work on our joined-up handwriting.</w:t>
            </w:r>
          </w:p>
          <w:p w:rsidR="00875953" w:rsidRPr="00C336A4" w:rsidRDefault="00875953" w:rsidP="00875953">
            <w:pPr>
              <w:rPr>
                <w:sz w:val="17"/>
                <w:szCs w:val="17"/>
              </w:rPr>
            </w:pPr>
          </w:p>
          <w:p w:rsidR="00981C51" w:rsidRPr="00C336A4" w:rsidRDefault="00981C51" w:rsidP="00875953">
            <w:pPr>
              <w:rPr>
                <w:sz w:val="17"/>
                <w:szCs w:val="17"/>
              </w:rPr>
            </w:pPr>
          </w:p>
          <w:p w:rsidR="00C336A4" w:rsidRPr="00C336A4" w:rsidRDefault="006E34BB" w:rsidP="00875953">
            <w:pPr>
              <w:rPr>
                <w:rFonts w:cs="Tahoma"/>
                <w:sz w:val="20"/>
              </w:rPr>
            </w:pPr>
            <w:r w:rsidRPr="00C336A4">
              <w:rPr>
                <w:sz w:val="17"/>
                <w:szCs w:val="17"/>
              </w:rPr>
              <w:t>In Guided R</w:t>
            </w:r>
            <w:r w:rsidR="00981C51" w:rsidRPr="00C336A4">
              <w:rPr>
                <w:sz w:val="17"/>
                <w:szCs w:val="17"/>
              </w:rPr>
              <w:t xml:space="preserve">eading and in our Literacy lessons we will be </w:t>
            </w:r>
            <w:r w:rsidR="00C336A4" w:rsidRPr="00C336A4">
              <w:rPr>
                <w:sz w:val="17"/>
                <w:szCs w:val="17"/>
              </w:rPr>
              <w:t xml:space="preserve">reading Wind in the Willows by Kenneth Graema. We are also looking at the Eagle by Alfred Lord Tennyson and The Night before Christmas. </w:t>
            </w:r>
          </w:p>
          <w:p w:rsidR="00CF3B86" w:rsidRPr="00C336A4" w:rsidRDefault="00CF3B86" w:rsidP="00875953">
            <w:pPr>
              <w:rPr>
                <w:sz w:val="17"/>
                <w:szCs w:val="17"/>
              </w:rPr>
            </w:pPr>
          </w:p>
        </w:tc>
        <w:tc>
          <w:tcPr>
            <w:tcW w:w="8674" w:type="dxa"/>
            <w:gridSpan w:val="4"/>
            <w:shd w:val="clear" w:color="auto" w:fill="auto"/>
          </w:tcPr>
          <w:p w:rsidR="00977F7A" w:rsidRPr="005E2044" w:rsidRDefault="00B15023">
            <w:pPr>
              <w:rPr>
                <w:b/>
                <w:sz w:val="14"/>
                <w:szCs w:val="17"/>
              </w:rPr>
            </w:pPr>
            <w:r w:rsidRPr="005E2044">
              <w:rPr>
                <w:b/>
                <w:sz w:val="14"/>
                <w:szCs w:val="17"/>
              </w:rPr>
              <w:t>In numeracy, this half term, w</w:t>
            </w:r>
            <w:r w:rsidR="00282E01" w:rsidRPr="005E2044">
              <w:rPr>
                <w:b/>
                <w:sz w:val="14"/>
                <w:szCs w:val="17"/>
              </w:rPr>
              <w:t>e will be</w:t>
            </w:r>
            <w:r w:rsidR="00740DEB" w:rsidRPr="005E2044">
              <w:rPr>
                <w:b/>
                <w:sz w:val="14"/>
                <w:szCs w:val="17"/>
              </w:rPr>
              <w:t xml:space="preserve"> learning about</w:t>
            </w:r>
            <w:r w:rsidR="00282E01" w:rsidRPr="005E2044">
              <w:rPr>
                <w:b/>
                <w:sz w:val="14"/>
                <w:szCs w:val="17"/>
              </w:rPr>
              <w:t>:</w:t>
            </w:r>
          </w:p>
          <w:p w:rsidR="00FC77C5" w:rsidRPr="005E2044" w:rsidRDefault="00FC77C5">
            <w:pPr>
              <w:rPr>
                <w:b/>
                <w:sz w:val="14"/>
                <w:szCs w:val="17"/>
              </w:rPr>
            </w:pPr>
          </w:p>
          <w:p w:rsidR="007C6CAE" w:rsidRPr="00366BA8" w:rsidRDefault="007C6CAE" w:rsidP="007C6CAE">
            <w:pPr>
              <w:rPr>
                <w:rFonts w:cs="Aharoni"/>
                <w:sz w:val="14"/>
                <w:szCs w:val="18"/>
              </w:rPr>
            </w:pPr>
            <w:r w:rsidRPr="00366BA8">
              <w:rPr>
                <w:b/>
                <w:sz w:val="14"/>
                <w:szCs w:val="18"/>
              </w:rPr>
              <w:t xml:space="preserve">Measurement: to </w:t>
            </w:r>
            <w:r w:rsidRPr="00366BA8">
              <w:rPr>
                <w:rFonts w:cs="Aharoni"/>
                <w:sz w:val="14"/>
                <w:szCs w:val="18"/>
              </w:rPr>
              <w:t xml:space="preserve">measure and calculate the perimeter of a rectilinear figure (including squares) in centimeters and meters, to estimate, compare and calculate money in pounds and pence, including giving change, to add and subtract lengths, mass, volume and capacity and about Time in seconds, minutes and hours including Days, months, a year and a leap year (how many days in each). </w:t>
            </w:r>
          </w:p>
          <w:p w:rsidR="007C6CAE" w:rsidRPr="00366BA8" w:rsidRDefault="007C6CAE" w:rsidP="007C6CAE">
            <w:pPr>
              <w:rPr>
                <w:rFonts w:cs="Aharoni"/>
                <w:sz w:val="14"/>
                <w:szCs w:val="18"/>
              </w:rPr>
            </w:pPr>
          </w:p>
          <w:p w:rsidR="007C6CAE" w:rsidRPr="00366BA8" w:rsidRDefault="007C6CAE" w:rsidP="007C6CAE">
            <w:pPr>
              <w:rPr>
                <w:rFonts w:cs="Aharoni"/>
                <w:sz w:val="14"/>
                <w:szCs w:val="18"/>
              </w:rPr>
            </w:pPr>
            <w:r w:rsidRPr="00366BA8">
              <w:rPr>
                <w:b/>
                <w:sz w:val="14"/>
                <w:szCs w:val="18"/>
              </w:rPr>
              <w:t xml:space="preserve">Properties of shape: to </w:t>
            </w:r>
            <w:r w:rsidRPr="00366BA8">
              <w:rPr>
                <w:rFonts w:cs="Aharoni"/>
                <w:sz w:val="14"/>
                <w:szCs w:val="18"/>
              </w:rPr>
              <w:t xml:space="preserve">compare and classify geometric </w:t>
            </w:r>
            <w:r w:rsidR="005E2044" w:rsidRPr="00366BA8">
              <w:rPr>
                <w:rFonts w:cs="Aharoni"/>
                <w:sz w:val="14"/>
                <w:szCs w:val="18"/>
              </w:rPr>
              <w:t>shapes</w:t>
            </w:r>
            <w:r w:rsidRPr="00366BA8">
              <w:rPr>
                <w:sz w:val="14"/>
                <w:szCs w:val="18"/>
              </w:rPr>
              <w:t xml:space="preserve"> </w:t>
            </w:r>
            <w:r w:rsidRPr="00366BA8">
              <w:rPr>
                <w:rFonts w:cs="Aharoni"/>
                <w:sz w:val="14"/>
                <w:szCs w:val="18"/>
              </w:rPr>
              <w:t xml:space="preserve">based on their properties and sizes and to identify acute and obtuse angles and complete a simple symmetric figure with respect to a specific line of symmetry. </w:t>
            </w:r>
          </w:p>
          <w:p w:rsidR="007C6CAE" w:rsidRPr="00366BA8" w:rsidRDefault="007C6CAE" w:rsidP="007C6CAE">
            <w:pPr>
              <w:rPr>
                <w:b/>
                <w:sz w:val="14"/>
                <w:szCs w:val="17"/>
              </w:rPr>
            </w:pPr>
          </w:p>
          <w:p w:rsidR="007C6CAE" w:rsidRPr="00366BA8" w:rsidRDefault="007C6CAE" w:rsidP="007C6CAE">
            <w:pPr>
              <w:autoSpaceDE w:val="0"/>
              <w:autoSpaceDN w:val="0"/>
              <w:adjustRightInd w:val="0"/>
              <w:rPr>
                <w:rFonts w:cs="Aharoni"/>
                <w:color w:val="000000"/>
                <w:sz w:val="14"/>
                <w:szCs w:val="18"/>
                <w:lang w:val="en-GB"/>
              </w:rPr>
            </w:pPr>
            <w:r w:rsidRPr="00366BA8">
              <w:rPr>
                <w:b/>
                <w:sz w:val="14"/>
                <w:szCs w:val="18"/>
              </w:rPr>
              <w:t>Position and Direction:</w:t>
            </w:r>
            <w:r w:rsidRPr="00366BA8">
              <w:rPr>
                <w:sz w:val="14"/>
                <w:szCs w:val="18"/>
              </w:rPr>
              <w:t xml:space="preserve"> to </w:t>
            </w:r>
            <w:r w:rsidRPr="00366BA8">
              <w:rPr>
                <w:rFonts w:cs="Aharoni"/>
                <w:color w:val="000000"/>
                <w:sz w:val="14"/>
                <w:szCs w:val="18"/>
              </w:rPr>
              <w:t>describe positions on a 2-D grid as coordinates in the first quadrant</w:t>
            </w:r>
          </w:p>
          <w:p w:rsidR="007C6CAE" w:rsidRPr="00366BA8" w:rsidRDefault="007C6CAE" w:rsidP="007C6CAE">
            <w:pPr>
              <w:rPr>
                <w:sz w:val="14"/>
                <w:szCs w:val="17"/>
              </w:rPr>
            </w:pPr>
          </w:p>
          <w:p w:rsidR="007C6CAE" w:rsidRPr="00366BA8" w:rsidRDefault="007C6CAE" w:rsidP="007C6CAE">
            <w:pPr>
              <w:rPr>
                <w:rFonts w:cs="Aharoni"/>
                <w:sz w:val="14"/>
                <w:szCs w:val="18"/>
              </w:rPr>
            </w:pPr>
            <w:r w:rsidRPr="00366BA8">
              <w:rPr>
                <w:b/>
                <w:sz w:val="14"/>
                <w:szCs w:val="18"/>
              </w:rPr>
              <w:t xml:space="preserve">Statistics: </w:t>
            </w:r>
            <w:r w:rsidRPr="00366BA8">
              <w:rPr>
                <w:sz w:val="14"/>
                <w:szCs w:val="18"/>
              </w:rPr>
              <w:t>to</w:t>
            </w:r>
            <w:r w:rsidRPr="00366BA8">
              <w:rPr>
                <w:b/>
                <w:sz w:val="14"/>
                <w:szCs w:val="18"/>
              </w:rPr>
              <w:t xml:space="preserve"> </w:t>
            </w:r>
            <w:r w:rsidRPr="00366BA8">
              <w:rPr>
                <w:rFonts w:cs="Aharoni"/>
                <w:sz w:val="14"/>
                <w:szCs w:val="18"/>
              </w:rPr>
              <w:t>interpret and present discrete and continuous data using appropriate graphical methods, including bar charts and time graphs and to solve comparison, sum and difference problems using information presented in bar charts, pictograms, tables and other graphs.</w:t>
            </w:r>
          </w:p>
          <w:p w:rsidR="007C6CAE" w:rsidRPr="00366BA8" w:rsidRDefault="007C6CAE" w:rsidP="007C6CAE">
            <w:pPr>
              <w:rPr>
                <w:b/>
                <w:sz w:val="14"/>
                <w:szCs w:val="17"/>
              </w:rPr>
            </w:pPr>
          </w:p>
          <w:p w:rsidR="00085F74" w:rsidRPr="00366BA8" w:rsidRDefault="007C6CAE" w:rsidP="00085F74">
            <w:pPr>
              <w:rPr>
                <w:sz w:val="14"/>
                <w:szCs w:val="17"/>
              </w:rPr>
            </w:pPr>
            <w:r w:rsidRPr="00366BA8">
              <w:rPr>
                <w:b/>
                <w:sz w:val="14"/>
                <w:szCs w:val="17"/>
              </w:rPr>
              <w:t xml:space="preserve">Place value: </w:t>
            </w:r>
            <w:r w:rsidRPr="00366BA8">
              <w:rPr>
                <w:sz w:val="14"/>
                <w:szCs w:val="17"/>
              </w:rPr>
              <w:t xml:space="preserve">to count in multiples of 6, 25 and 100, to count backwards through zero including negative numbers, to order and compare numbers beyond 1000 and to round any number to the nearest 10, 100 or 1000. </w:t>
            </w:r>
          </w:p>
          <w:p w:rsidR="005E2044" w:rsidRPr="00366BA8" w:rsidRDefault="005E2044" w:rsidP="00085F74">
            <w:pPr>
              <w:rPr>
                <w:sz w:val="14"/>
                <w:szCs w:val="17"/>
              </w:rPr>
            </w:pPr>
          </w:p>
          <w:p w:rsidR="005E2044" w:rsidRPr="00366BA8" w:rsidRDefault="005E2044" w:rsidP="005E2044">
            <w:pPr>
              <w:rPr>
                <w:rFonts w:cs="Aharoni"/>
                <w:sz w:val="14"/>
                <w:szCs w:val="20"/>
              </w:rPr>
            </w:pPr>
            <w:r w:rsidRPr="00366BA8">
              <w:rPr>
                <w:b/>
                <w:sz w:val="14"/>
                <w:szCs w:val="18"/>
              </w:rPr>
              <w:t>Addition and Subtraction:</w:t>
            </w:r>
            <w:r w:rsidRPr="00366BA8">
              <w:rPr>
                <w:sz w:val="14"/>
                <w:szCs w:val="18"/>
              </w:rPr>
              <w:t xml:space="preserve"> </w:t>
            </w:r>
            <w:r w:rsidRPr="00366BA8">
              <w:rPr>
                <w:sz w:val="14"/>
                <w:szCs w:val="20"/>
              </w:rPr>
              <w:t>to</w:t>
            </w:r>
            <w:r w:rsidRPr="00366BA8">
              <w:rPr>
                <w:b/>
                <w:sz w:val="14"/>
                <w:szCs w:val="20"/>
              </w:rPr>
              <w:t xml:space="preserve"> </w:t>
            </w:r>
            <w:r w:rsidRPr="00366BA8">
              <w:rPr>
                <w:rFonts w:cs="Aharoni"/>
                <w:sz w:val="14"/>
                <w:szCs w:val="20"/>
              </w:rPr>
              <w:t>add and subtract numbers mentally, to use formal written methods with up to 4 digits, to estimate and use inverse operations to check answers to a calculation and to solve addition two-step problems in contexts, deciding which operations and methods to use and why.</w:t>
            </w:r>
          </w:p>
          <w:p w:rsidR="005E2044" w:rsidRPr="005E2044" w:rsidRDefault="005E2044" w:rsidP="00085F74">
            <w:pPr>
              <w:rPr>
                <w:color w:val="FF0000"/>
                <w:sz w:val="14"/>
                <w:szCs w:val="17"/>
              </w:rPr>
            </w:pPr>
          </w:p>
          <w:p w:rsidR="00CB3EDD" w:rsidRDefault="00171059" w:rsidP="00740DEB">
            <w:pPr>
              <w:rPr>
                <w:sz w:val="14"/>
                <w:szCs w:val="17"/>
              </w:rPr>
            </w:pPr>
            <w:r w:rsidRPr="005E2044">
              <w:rPr>
                <w:sz w:val="14"/>
                <w:szCs w:val="17"/>
              </w:rPr>
              <w:t xml:space="preserve">The children will be taking part in problem solving in all areas of mathematics. </w:t>
            </w:r>
          </w:p>
          <w:p w:rsidR="005E2044" w:rsidRPr="007C6CAE" w:rsidRDefault="005E2044" w:rsidP="00740DEB">
            <w:pPr>
              <w:rPr>
                <w:sz w:val="16"/>
                <w:szCs w:val="17"/>
              </w:rPr>
            </w:pPr>
          </w:p>
        </w:tc>
      </w:tr>
      <w:tr w:rsidR="00977F7A" w:rsidTr="00366BA8">
        <w:trPr>
          <w:trHeight w:val="570"/>
        </w:trPr>
        <w:tc>
          <w:tcPr>
            <w:tcW w:w="4503" w:type="dxa"/>
            <w:gridSpan w:val="2"/>
            <w:shd w:val="clear" w:color="auto" w:fill="E5DFEC" w:themeFill="accent4" w:themeFillTint="33"/>
            <w:vAlign w:val="center"/>
          </w:tcPr>
          <w:p w:rsidR="00977F7A" w:rsidRPr="00DC7014" w:rsidRDefault="00282E01">
            <w:pPr>
              <w:jc w:val="center"/>
              <w:rPr>
                <w:b/>
                <w:color w:val="FF0000"/>
                <w:highlight w:val="yellow"/>
              </w:rPr>
            </w:pPr>
            <w:r w:rsidRPr="00195FA2">
              <w:rPr>
                <w:b/>
                <w:sz w:val="28"/>
              </w:rPr>
              <w:t>Science</w:t>
            </w:r>
          </w:p>
        </w:tc>
        <w:tc>
          <w:tcPr>
            <w:tcW w:w="6804" w:type="dxa"/>
            <w:gridSpan w:val="4"/>
            <w:vMerge w:val="restart"/>
            <w:shd w:val="clear" w:color="auto" w:fill="E5DFEC" w:themeFill="accent4" w:themeFillTint="33"/>
            <w:vAlign w:val="center"/>
          </w:tcPr>
          <w:p w:rsidR="00977F7A" w:rsidRDefault="00DC7014">
            <w:pPr>
              <w:jc w:val="center"/>
              <w:rPr>
                <w:rFonts w:cs="Arial"/>
                <w:b/>
                <w:sz w:val="28"/>
              </w:rPr>
            </w:pPr>
            <w:r>
              <w:rPr>
                <w:rFonts w:cs="Arial"/>
                <w:b/>
                <w:sz w:val="28"/>
              </w:rPr>
              <w:t xml:space="preserve">Cherry Tree </w:t>
            </w:r>
            <w:r w:rsidR="007A4283">
              <w:rPr>
                <w:rFonts w:cs="Arial"/>
                <w:b/>
                <w:sz w:val="28"/>
              </w:rPr>
              <w:t>Class</w:t>
            </w:r>
            <w:r w:rsidR="00282E01">
              <w:rPr>
                <w:rFonts w:cs="Arial"/>
                <w:b/>
                <w:sz w:val="28"/>
              </w:rPr>
              <w:t xml:space="preserve"> Topic Web </w:t>
            </w:r>
          </w:p>
          <w:p w:rsidR="00977F7A" w:rsidRDefault="00C336A4">
            <w:pPr>
              <w:jc w:val="center"/>
              <w:rPr>
                <w:rFonts w:cs="Arial"/>
                <w:b/>
                <w:sz w:val="28"/>
              </w:rPr>
            </w:pPr>
            <w:r>
              <w:rPr>
                <w:rFonts w:cs="Arial"/>
                <w:b/>
                <w:sz w:val="28"/>
              </w:rPr>
              <w:t>Autumn 2</w:t>
            </w:r>
            <w:r w:rsidR="00CD4F03">
              <w:rPr>
                <w:rFonts w:cs="Arial"/>
                <w:b/>
                <w:sz w:val="28"/>
              </w:rPr>
              <w:t xml:space="preserve"> 2017</w:t>
            </w:r>
          </w:p>
        </w:tc>
        <w:tc>
          <w:tcPr>
            <w:tcW w:w="4515" w:type="dxa"/>
            <w:gridSpan w:val="2"/>
            <w:shd w:val="clear" w:color="auto" w:fill="E5DFEC" w:themeFill="accent4" w:themeFillTint="33"/>
            <w:vAlign w:val="center"/>
          </w:tcPr>
          <w:p w:rsidR="00977F7A" w:rsidRPr="00855C3F" w:rsidRDefault="00C336A4" w:rsidP="00C96365">
            <w:pPr>
              <w:jc w:val="center"/>
              <w:rPr>
                <w:b/>
              </w:rPr>
            </w:pPr>
            <w:r w:rsidRPr="00855C3F">
              <w:rPr>
                <w:b/>
                <w:sz w:val="28"/>
              </w:rPr>
              <w:t>Geography</w:t>
            </w:r>
          </w:p>
        </w:tc>
      </w:tr>
      <w:tr w:rsidR="00977F7A" w:rsidTr="003E7632">
        <w:trPr>
          <w:trHeight w:val="293"/>
        </w:trPr>
        <w:tc>
          <w:tcPr>
            <w:tcW w:w="4503" w:type="dxa"/>
            <w:gridSpan w:val="2"/>
            <w:vMerge w:val="restart"/>
          </w:tcPr>
          <w:p w:rsidR="0089275F" w:rsidRPr="00DC7014" w:rsidRDefault="00195FA2" w:rsidP="008D7FCD">
            <w:pPr>
              <w:rPr>
                <w:color w:val="FF0000"/>
                <w:sz w:val="18"/>
                <w:highlight w:val="yellow"/>
              </w:rPr>
            </w:pPr>
            <w:r>
              <w:rPr>
                <w:sz w:val="16"/>
              </w:rPr>
              <w:t>In</w:t>
            </w:r>
            <w:r w:rsidRPr="006855C4">
              <w:rPr>
                <w:sz w:val="16"/>
              </w:rPr>
              <w:t xml:space="preserve"> science this half term, </w:t>
            </w:r>
            <w:r>
              <w:rPr>
                <w:sz w:val="16"/>
              </w:rPr>
              <w:t xml:space="preserve">we will be investigating how sound is made and exploring pitch and volume and how we can change these. We will also consider what the best sound insulators are, by testing a variety of materials. The children </w:t>
            </w:r>
            <w:r w:rsidR="00855C3F">
              <w:rPr>
                <w:sz w:val="16"/>
              </w:rPr>
              <w:t xml:space="preserve">will </w:t>
            </w:r>
            <w:r>
              <w:rPr>
                <w:sz w:val="16"/>
              </w:rPr>
              <w:t>think about whether we really can hear a pin drop! Finally, we will consider how the animal kingdom uses sound.</w:t>
            </w:r>
          </w:p>
        </w:tc>
        <w:tc>
          <w:tcPr>
            <w:tcW w:w="6804" w:type="dxa"/>
            <w:gridSpan w:val="4"/>
            <w:vMerge/>
            <w:tcBorders>
              <w:bottom w:val="single" w:sz="4" w:space="0" w:color="auto"/>
            </w:tcBorders>
            <w:shd w:val="pct12" w:color="auto" w:fill="auto"/>
          </w:tcPr>
          <w:p w:rsidR="00977F7A" w:rsidRDefault="00977F7A"/>
        </w:tc>
        <w:tc>
          <w:tcPr>
            <w:tcW w:w="4515" w:type="dxa"/>
            <w:gridSpan w:val="2"/>
            <w:vMerge w:val="restart"/>
          </w:tcPr>
          <w:p w:rsidR="00AE079A" w:rsidRPr="00855C3F" w:rsidRDefault="00E47C14" w:rsidP="00C336A4">
            <w:pPr>
              <w:rPr>
                <w:sz w:val="17"/>
                <w:szCs w:val="17"/>
              </w:rPr>
            </w:pPr>
            <w:r w:rsidRPr="00855C3F">
              <w:rPr>
                <w:sz w:val="17"/>
                <w:szCs w:val="17"/>
              </w:rPr>
              <w:t xml:space="preserve"> </w:t>
            </w:r>
            <w:r w:rsidR="00C336A4" w:rsidRPr="00855C3F">
              <w:rPr>
                <w:sz w:val="18"/>
                <w:szCs w:val="18"/>
              </w:rPr>
              <w:t>In Geography</w:t>
            </w:r>
            <w:r w:rsidR="00574DBE" w:rsidRPr="00855C3F">
              <w:rPr>
                <w:sz w:val="18"/>
                <w:szCs w:val="18"/>
              </w:rPr>
              <w:t xml:space="preserve"> this half term,</w:t>
            </w:r>
            <w:r w:rsidR="0089275F" w:rsidRPr="00855C3F">
              <w:rPr>
                <w:sz w:val="18"/>
                <w:szCs w:val="18"/>
              </w:rPr>
              <w:t xml:space="preserve"> we will be exploring </w:t>
            </w:r>
            <w:r w:rsidR="00855C3F" w:rsidRPr="00855C3F">
              <w:rPr>
                <w:sz w:val="18"/>
                <w:szCs w:val="18"/>
              </w:rPr>
              <w:t xml:space="preserve">the local area of Brighstone. They will be comparing human and physical features and will draw sketches of the local area as well as a bird’s eye view map. </w:t>
            </w:r>
            <w:bookmarkStart w:id="0" w:name="_GoBack"/>
            <w:bookmarkEnd w:id="0"/>
          </w:p>
        </w:tc>
      </w:tr>
      <w:tr w:rsidR="00977F7A" w:rsidTr="003E7632">
        <w:trPr>
          <w:trHeight w:val="1203"/>
        </w:trPr>
        <w:tc>
          <w:tcPr>
            <w:tcW w:w="4503" w:type="dxa"/>
            <w:gridSpan w:val="2"/>
            <w:vMerge/>
            <w:tcBorders>
              <w:bottom w:val="single" w:sz="4" w:space="0" w:color="auto"/>
            </w:tcBorders>
          </w:tcPr>
          <w:p w:rsidR="00977F7A" w:rsidRDefault="00977F7A">
            <w:pPr>
              <w:rPr>
                <w:sz w:val="22"/>
              </w:rPr>
            </w:pPr>
          </w:p>
        </w:tc>
        <w:tc>
          <w:tcPr>
            <w:tcW w:w="6804" w:type="dxa"/>
            <w:gridSpan w:val="4"/>
            <w:tcBorders>
              <w:bottom w:val="single" w:sz="4" w:space="0" w:color="auto"/>
            </w:tcBorders>
            <w:vAlign w:val="center"/>
          </w:tcPr>
          <w:p w:rsidR="00A34BC5" w:rsidRDefault="00855C3F" w:rsidP="00C336A4">
            <w:pPr>
              <w:jc w:val="center"/>
              <w:rPr>
                <w:rFonts w:cs="Arial"/>
                <w:b/>
                <w:color w:val="FF0000"/>
                <w:sz w:val="44"/>
              </w:rPr>
            </w:pPr>
            <w:r>
              <w:rPr>
                <w:noProof/>
              </w:rPr>
              <w:drawing>
                <wp:anchor distT="0" distB="0" distL="114300" distR="114300" simplePos="0" relativeHeight="251661312" behindDoc="1" locked="0" layoutInCell="1" allowOverlap="1" wp14:anchorId="3DBC193F" wp14:editId="74215BD4">
                  <wp:simplePos x="0" y="0"/>
                  <wp:positionH relativeFrom="column">
                    <wp:posOffset>-958215</wp:posOffset>
                  </wp:positionH>
                  <wp:positionV relativeFrom="paragraph">
                    <wp:posOffset>104775</wp:posOffset>
                  </wp:positionV>
                  <wp:extent cx="878840" cy="495300"/>
                  <wp:effectExtent l="0" t="0" r="0" b="0"/>
                  <wp:wrapThrough wrapText="bothSides">
                    <wp:wrapPolygon edited="0">
                      <wp:start x="0" y="0"/>
                      <wp:lineTo x="0" y="20769"/>
                      <wp:lineTo x="21069" y="20769"/>
                      <wp:lineTo x="210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840" cy="495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3DBC193F" wp14:editId="74215BD4">
                  <wp:simplePos x="0" y="0"/>
                  <wp:positionH relativeFrom="column">
                    <wp:posOffset>3279775</wp:posOffset>
                  </wp:positionH>
                  <wp:positionV relativeFrom="paragraph">
                    <wp:posOffset>107950</wp:posOffset>
                  </wp:positionV>
                  <wp:extent cx="878840" cy="495300"/>
                  <wp:effectExtent l="0" t="0" r="0" b="0"/>
                  <wp:wrapThrough wrapText="bothSides">
                    <wp:wrapPolygon edited="0">
                      <wp:start x="0" y="0"/>
                      <wp:lineTo x="0" y="20769"/>
                      <wp:lineTo x="21069" y="20769"/>
                      <wp:lineTo x="210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840" cy="495300"/>
                          </a:xfrm>
                          <a:prstGeom prst="rect">
                            <a:avLst/>
                          </a:prstGeom>
                        </pic:spPr>
                      </pic:pic>
                    </a:graphicData>
                  </a:graphic>
                  <wp14:sizeRelH relativeFrom="margin">
                    <wp14:pctWidth>0</wp14:pctWidth>
                  </wp14:sizeRelH>
                  <wp14:sizeRelV relativeFrom="margin">
                    <wp14:pctHeight>0</wp14:pctHeight>
                  </wp14:sizeRelV>
                </wp:anchor>
              </w:drawing>
            </w:r>
            <w:r w:rsidR="00A34BC5" w:rsidRPr="001132CF">
              <w:rPr>
                <w:rFonts w:cs="Arial"/>
                <w:b/>
                <w:color w:val="FF0000"/>
                <w:sz w:val="44"/>
              </w:rPr>
              <w:t xml:space="preserve"> </w:t>
            </w:r>
            <w:r w:rsidR="00B15023" w:rsidRPr="001132CF">
              <w:rPr>
                <w:rFonts w:cs="Arial"/>
                <w:b/>
                <w:color w:val="FF0000"/>
                <w:sz w:val="44"/>
              </w:rPr>
              <w:t>‘</w:t>
            </w:r>
            <w:r w:rsidR="00C336A4">
              <w:rPr>
                <w:rFonts w:cs="Arial"/>
                <w:b/>
                <w:color w:val="FF0000"/>
                <w:sz w:val="44"/>
              </w:rPr>
              <w:t xml:space="preserve">What’s around </w:t>
            </w:r>
          </w:p>
          <w:p w:rsidR="00977F7A" w:rsidRPr="00CD4F03" w:rsidRDefault="00C336A4" w:rsidP="00C336A4">
            <w:pPr>
              <w:jc w:val="center"/>
              <w:rPr>
                <w:rFonts w:cs="Arial"/>
                <w:b/>
                <w:color w:val="1F497D" w:themeColor="text2"/>
                <w:sz w:val="44"/>
              </w:rPr>
            </w:pPr>
            <w:r>
              <w:rPr>
                <w:rFonts w:cs="Arial"/>
                <w:b/>
                <w:color w:val="FF0000"/>
                <w:sz w:val="44"/>
              </w:rPr>
              <w:t>the corner?’</w:t>
            </w:r>
          </w:p>
        </w:tc>
        <w:tc>
          <w:tcPr>
            <w:tcW w:w="4515" w:type="dxa"/>
            <w:gridSpan w:val="2"/>
            <w:vMerge/>
            <w:tcBorders>
              <w:bottom w:val="single" w:sz="4" w:space="0" w:color="auto"/>
            </w:tcBorders>
          </w:tcPr>
          <w:p w:rsidR="00977F7A" w:rsidRPr="00DC7014" w:rsidRDefault="00977F7A">
            <w:pPr>
              <w:rPr>
                <w:sz w:val="22"/>
                <w:highlight w:val="yellow"/>
              </w:rPr>
            </w:pPr>
          </w:p>
        </w:tc>
      </w:tr>
      <w:tr w:rsidR="00A33720" w:rsidTr="00366BA8">
        <w:trPr>
          <w:trHeight w:val="571"/>
        </w:trPr>
        <w:tc>
          <w:tcPr>
            <w:tcW w:w="2235" w:type="dxa"/>
            <w:shd w:val="clear" w:color="auto" w:fill="E5DFEC" w:themeFill="accent4" w:themeFillTint="33"/>
            <w:vAlign w:val="center"/>
          </w:tcPr>
          <w:p w:rsidR="00977F7A" w:rsidRPr="00DC7014" w:rsidRDefault="00282E01">
            <w:pPr>
              <w:jc w:val="center"/>
              <w:rPr>
                <w:b/>
              </w:rPr>
            </w:pPr>
            <w:r w:rsidRPr="00366BA8">
              <w:rPr>
                <w:b/>
                <w:sz w:val="28"/>
              </w:rPr>
              <w:t>RE</w:t>
            </w:r>
          </w:p>
        </w:tc>
        <w:tc>
          <w:tcPr>
            <w:tcW w:w="2268" w:type="dxa"/>
            <w:shd w:val="clear" w:color="auto" w:fill="E5DFEC" w:themeFill="accent4" w:themeFillTint="33"/>
            <w:vAlign w:val="center"/>
          </w:tcPr>
          <w:p w:rsidR="00977F7A" w:rsidRPr="00DC7014" w:rsidRDefault="00282E01">
            <w:pPr>
              <w:jc w:val="center"/>
              <w:rPr>
                <w:b/>
              </w:rPr>
            </w:pPr>
            <w:r w:rsidRPr="00366BA8">
              <w:rPr>
                <w:b/>
                <w:sz w:val="28"/>
              </w:rPr>
              <w:t>PSHE</w:t>
            </w:r>
          </w:p>
        </w:tc>
        <w:tc>
          <w:tcPr>
            <w:tcW w:w="2268" w:type="dxa"/>
            <w:shd w:val="clear" w:color="auto" w:fill="E5DFEC" w:themeFill="accent4" w:themeFillTint="33"/>
            <w:vAlign w:val="center"/>
          </w:tcPr>
          <w:p w:rsidR="00977F7A" w:rsidRPr="00DC7014" w:rsidRDefault="00C96365">
            <w:pPr>
              <w:jc w:val="center"/>
              <w:rPr>
                <w:b/>
                <w:color w:val="FF0000"/>
                <w:sz w:val="28"/>
                <w:highlight w:val="yellow"/>
              </w:rPr>
            </w:pPr>
            <w:r w:rsidRPr="00574DBE">
              <w:rPr>
                <w:b/>
                <w:sz w:val="28"/>
              </w:rPr>
              <w:t xml:space="preserve">French </w:t>
            </w:r>
          </w:p>
        </w:tc>
        <w:tc>
          <w:tcPr>
            <w:tcW w:w="3118" w:type="dxa"/>
            <w:gridSpan w:val="2"/>
            <w:shd w:val="clear" w:color="auto" w:fill="E5DFEC" w:themeFill="accent4" w:themeFillTint="33"/>
            <w:vAlign w:val="center"/>
          </w:tcPr>
          <w:p w:rsidR="00977F7A" w:rsidRPr="00DC7014" w:rsidRDefault="00C336A4">
            <w:pPr>
              <w:jc w:val="center"/>
              <w:rPr>
                <w:b/>
                <w:color w:val="FF0000"/>
                <w:sz w:val="28"/>
                <w:highlight w:val="yellow"/>
              </w:rPr>
            </w:pPr>
            <w:r>
              <w:rPr>
                <w:b/>
                <w:sz w:val="28"/>
              </w:rPr>
              <w:t xml:space="preserve">Art </w:t>
            </w:r>
          </w:p>
        </w:tc>
        <w:tc>
          <w:tcPr>
            <w:tcW w:w="1418" w:type="dxa"/>
            <w:shd w:val="clear" w:color="auto" w:fill="E5DFEC" w:themeFill="accent4" w:themeFillTint="33"/>
            <w:vAlign w:val="center"/>
          </w:tcPr>
          <w:p w:rsidR="00977F7A" w:rsidRPr="00105BAA" w:rsidRDefault="00282E01">
            <w:pPr>
              <w:jc w:val="center"/>
              <w:rPr>
                <w:b/>
                <w:sz w:val="28"/>
              </w:rPr>
            </w:pPr>
            <w:r w:rsidRPr="00105BAA">
              <w:rPr>
                <w:b/>
                <w:sz w:val="28"/>
              </w:rPr>
              <w:t>PE</w:t>
            </w:r>
          </w:p>
        </w:tc>
        <w:tc>
          <w:tcPr>
            <w:tcW w:w="2976" w:type="dxa"/>
            <w:shd w:val="clear" w:color="auto" w:fill="E5DFEC" w:themeFill="accent4" w:themeFillTint="33"/>
            <w:vAlign w:val="center"/>
          </w:tcPr>
          <w:p w:rsidR="00977F7A" w:rsidRPr="00855C3F" w:rsidRDefault="00574DBE">
            <w:pPr>
              <w:jc w:val="center"/>
              <w:rPr>
                <w:b/>
                <w:sz w:val="28"/>
              </w:rPr>
            </w:pPr>
            <w:r w:rsidRPr="00855C3F">
              <w:rPr>
                <w:b/>
                <w:sz w:val="28"/>
              </w:rPr>
              <w:t xml:space="preserve">Computing </w:t>
            </w:r>
          </w:p>
        </w:tc>
        <w:tc>
          <w:tcPr>
            <w:tcW w:w="1539" w:type="dxa"/>
            <w:shd w:val="clear" w:color="auto" w:fill="E5DFEC" w:themeFill="accent4" w:themeFillTint="33"/>
            <w:vAlign w:val="center"/>
          </w:tcPr>
          <w:p w:rsidR="00977F7A" w:rsidRPr="00574DBE" w:rsidRDefault="00E47C14">
            <w:pPr>
              <w:jc w:val="center"/>
              <w:rPr>
                <w:b/>
                <w:color w:val="FF0000"/>
                <w:sz w:val="28"/>
              </w:rPr>
            </w:pPr>
            <w:r w:rsidRPr="00574DBE">
              <w:rPr>
                <w:b/>
                <w:sz w:val="28"/>
              </w:rPr>
              <w:t>Music</w:t>
            </w:r>
          </w:p>
        </w:tc>
      </w:tr>
      <w:tr w:rsidR="00A33720" w:rsidTr="00151BC5">
        <w:trPr>
          <w:trHeight w:val="1685"/>
        </w:trPr>
        <w:tc>
          <w:tcPr>
            <w:tcW w:w="2235" w:type="dxa"/>
          </w:tcPr>
          <w:p w:rsidR="00977F7A" w:rsidRPr="00DC7014" w:rsidRDefault="004E0B86" w:rsidP="00C336A4">
            <w:pPr>
              <w:rPr>
                <w:sz w:val="18"/>
                <w:szCs w:val="18"/>
              </w:rPr>
            </w:pPr>
            <w:r w:rsidRPr="00DC7014">
              <w:rPr>
                <w:sz w:val="18"/>
                <w:szCs w:val="18"/>
              </w:rPr>
              <w:t xml:space="preserve">In Religious Studies this half term, we will be </w:t>
            </w:r>
            <w:r w:rsidR="00DC7014" w:rsidRPr="00DC7014">
              <w:rPr>
                <w:sz w:val="18"/>
                <w:szCs w:val="18"/>
              </w:rPr>
              <w:t xml:space="preserve">looking at </w:t>
            </w:r>
            <w:r w:rsidR="00C336A4">
              <w:rPr>
                <w:sz w:val="18"/>
                <w:szCs w:val="18"/>
              </w:rPr>
              <w:t xml:space="preserve">Incarnation </w:t>
            </w:r>
            <w:r w:rsidR="00DC7014" w:rsidRPr="00DC7014">
              <w:rPr>
                <w:sz w:val="18"/>
                <w:szCs w:val="18"/>
              </w:rPr>
              <w:t xml:space="preserve">in Christianity. This will involve looking at </w:t>
            </w:r>
            <w:r w:rsidR="00366BA8">
              <w:rPr>
                <w:sz w:val="18"/>
                <w:szCs w:val="18"/>
              </w:rPr>
              <w:t xml:space="preserve">the Trinity, God’s power in the world and people’s lives, metaphors for God and that Christians spend their whole lives learning about God. </w:t>
            </w:r>
          </w:p>
        </w:tc>
        <w:tc>
          <w:tcPr>
            <w:tcW w:w="2268" w:type="dxa"/>
          </w:tcPr>
          <w:p w:rsidR="00655713" w:rsidRPr="00574DBE" w:rsidRDefault="004E0B86" w:rsidP="00C336A4">
            <w:pPr>
              <w:rPr>
                <w:sz w:val="18"/>
                <w:szCs w:val="18"/>
              </w:rPr>
            </w:pPr>
            <w:r w:rsidRPr="00574DBE">
              <w:rPr>
                <w:sz w:val="18"/>
                <w:szCs w:val="18"/>
              </w:rPr>
              <w:t>In PSHE this half term, we will be</w:t>
            </w:r>
            <w:r w:rsidR="006D2492" w:rsidRPr="00574DBE">
              <w:rPr>
                <w:sz w:val="18"/>
                <w:szCs w:val="18"/>
              </w:rPr>
              <w:t xml:space="preserve"> discussing</w:t>
            </w:r>
            <w:r w:rsidR="00E47C14" w:rsidRPr="00574DBE">
              <w:rPr>
                <w:sz w:val="18"/>
                <w:szCs w:val="18"/>
              </w:rPr>
              <w:t xml:space="preserve"> </w:t>
            </w:r>
            <w:r w:rsidR="00C336A4">
              <w:rPr>
                <w:sz w:val="18"/>
                <w:szCs w:val="18"/>
              </w:rPr>
              <w:t>bullying</w:t>
            </w:r>
            <w:r w:rsidR="00DC7014" w:rsidRPr="00574DBE">
              <w:rPr>
                <w:sz w:val="18"/>
                <w:szCs w:val="18"/>
              </w:rPr>
              <w:t xml:space="preserve">. We will be looking at </w:t>
            </w:r>
            <w:r w:rsidR="00366BA8">
              <w:rPr>
                <w:sz w:val="18"/>
                <w:szCs w:val="18"/>
              </w:rPr>
              <w:t xml:space="preserve">bullying. This will include: what bullying is, being an onlooker, developing self-awareness and developing empathy for people who are bullied. </w:t>
            </w:r>
          </w:p>
        </w:tc>
        <w:tc>
          <w:tcPr>
            <w:tcW w:w="2268" w:type="dxa"/>
          </w:tcPr>
          <w:p w:rsidR="00655713" w:rsidRPr="00574DBE" w:rsidRDefault="00655713" w:rsidP="006D2492">
            <w:pPr>
              <w:rPr>
                <w:color w:val="FF0000"/>
                <w:sz w:val="18"/>
                <w:szCs w:val="18"/>
              </w:rPr>
            </w:pPr>
            <w:r w:rsidRPr="00574DBE">
              <w:rPr>
                <w:sz w:val="18"/>
                <w:szCs w:val="18"/>
              </w:rPr>
              <w:t xml:space="preserve"> </w:t>
            </w:r>
            <w:r w:rsidR="00574DBE" w:rsidRPr="00574DBE">
              <w:rPr>
                <w:color w:val="000000" w:themeColor="text1"/>
                <w:sz w:val="17"/>
                <w:szCs w:val="17"/>
              </w:rPr>
              <w:t>We will be learning about how to say different numbers (up to 30) and how to say and record dates this half term. We will also begin to talk about our hobbies.</w:t>
            </w:r>
          </w:p>
        </w:tc>
        <w:tc>
          <w:tcPr>
            <w:tcW w:w="3118" w:type="dxa"/>
            <w:gridSpan w:val="2"/>
          </w:tcPr>
          <w:p w:rsidR="00655713" w:rsidRPr="00DC7014" w:rsidRDefault="00530DC9" w:rsidP="00C336A4">
            <w:pPr>
              <w:rPr>
                <w:color w:val="FF0000"/>
                <w:sz w:val="18"/>
                <w:szCs w:val="18"/>
                <w:highlight w:val="yellow"/>
              </w:rPr>
            </w:pPr>
            <w:r w:rsidRPr="00C05F84">
              <w:rPr>
                <w:sz w:val="18"/>
                <w:szCs w:val="18"/>
              </w:rPr>
              <w:t xml:space="preserve">Over the half term, the children will be </w:t>
            </w:r>
            <w:r w:rsidR="00C336A4">
              <w:rPr>
                <w:sz w:val="18"/>
                <w:szCs w:val="18"/>
              </w:rPr>
              <w:t xml:space="preserve">working on </w:t>
            </w:r>
            <w:r w:rsidR="001412D3">
              <w:rPr>
                <w:sz w:val="18"/>
                <w:szCs w:val="18"/>
              </w:rPr>
              <w:t xml:space="preserve">looking at landscapes. We will be doing sketch book working, using different pencils and watercolors to create a landscape picture. </w:t>
            </w:r>
          </w:p>
        </w:tc>
        <w:tc>
          <w:tcPr>
            <w:tcW w:w="1418" w:type="dxa"/>
          </w:tcPr>
          <w:p w:rsidR="004E0B86" w:rsidRPr="00105BAA" w:rsidRDefault="00105BAA" w:rsidP="00CD4F03">
            <w:pPr>
              <w:rPr>
                <w:sz w:val="18"/>
                <w:szCs w:val="18"/>
                <w:u w:val="single"/>
              </w:rPr>
            </w:pPr>
            <w:r>
              <w:rPr>
                <w:sz w:val="18"/>
                <w:szCs w:val="18"/>
              </w:rPr>
              <w:t xml:space="preserve">The children will be working with the sports coach, taking part in a variety of sports over the year. </w:t>
            </w:r>
          </w:p>
          <w:p w:rsidR="004E0B86" w:rsidRPr="00105BAA" w:rsidRDefault="004E0B86" w:rsidP="00CD4F03">
            <w:pPr>
              <w:rPr>
                <w:sz w:val="18"/>
                <w:szCs w:val="18"/>
              </w:rPr>
            </w:pPr>
          </w:p>
          <w:p w:rsidR="00FB57A0" w:rsidRPr="00105BAA" w:rsidRDefault="00FB57A0" w:rsidP="00CD4F03">
            <w:pPr>
              <w:rPr>
                <w:sz w:val="18"/>
                <w:szCs w:val="18"/>
              </w:rPr>
            </w:pPr>
          </w:p>
        </w:tc>
        <w:tc>
          <w:tcPr>
            <w:tcW w:w="2976" w:type="dxa"/>
          </w:tcPr>
          <w:p w:rsidR="00977F7A" w:rsidRPr="00855C3F" w:rsidRDefault="00530DC9" w:rsidP="006D2492">
            <w:pPr>
              <w:rPr>
                <w:sz w:val="18"/>
                <w:szCs w:val="18"/>
              </w:rPr>
            </w:pPr>
            <w:r w:rsidRPr="00855C3F">
              <w:rPr>
                <w:sz w:val="18"/>
                <w:szCs w:val="18"/>
              </w:rPr>
              <w:t xml:space="preserve">The children will be learning how to use block coding to create games and animations using an ICT learning tool called Purple Mash. Usernames and passwords for this learning tool will be glued into the children’s homework diaries so they can access the content we explore in school, from home.   </w:t>
            </w:r>
          </w:p>
        </w:tc>
        <w:tc>
          <w:tcPr>
            <w:tcW w:w="1539" w:type="dxa"/>
          </w:tcPr>
          <w:p w:rsidR="00977F7A" w:rsidRPr="00574DBE" w:rsidRDefault="00E47C14" w:rsidP="007A4283">
            <w:pPr>
              <w:rPr>
                <w:color w:val="FF0000"/>
                <w:sz w:val="18"/>
                <w:szCs w:val="18"/>
              </w:rPr>
            </w:pPr>
            <w:r w:rsidRPr="00574DBE">
              <w:rPr>
                <w:sz w:val="18"/>
                <w:szCs w:val="18"/>
              </w:rPr>
              <w:t xml:space="preserve">This half term, we will be </w:t>
            </w:r>
            <w:r w:rsidR="00574DBE" w:rsidRPr="00574DBE">
              <w:rPr>
                <w:sz w:val="18"/>
                <w:szCs w:val="18"/>
              </w:rPr>
              <w:t xml:space="preserve">learning to play the Ukelele. </w:t>
            </w:r>
          </w:p>
        </w:tc>
      </w:tr>
    </w:tbl>
    <w:p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5"/>
  </w:num>
  <w:num w:numId="7">
    <w:abstractNumId w:val="1"/>
  </w:num>
  <w:num w:numId="8">
    <w:abstractNumId w:val="6"/>
  </w:num>
  <w:num w:numId="9">
    <w:abstractNumId w:val="3"/>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F7A"/>
    <w:rsid w:val="00085F74"/>
    <w:rsid w:val="000A3C93"/>
    <w:rsid w:val="000C2336"/>
    <w:rsid w:val="000C639F"/>
    <w:rsid w:val="000F47BB"/>
    <w:rsid w:val="0010563D"/>
    <w:rsid w:val="00105BAA"/>
    <w:rsid w:val="001132CF"/>
    <w:rsid w:val="0011566B"/>
    <w:rsid w:val="001217E7"/>
    <w:rsid w:val="00132A32"/>
    <w:rsid w:val="001360E5"/>
    <w:rsid w:val="00136E64"/>
    <w:rsid w:val="001412D3"/>
    <w:rsid w:val="00151BC5"/>
    <w:rsid w:val="00171059"/>
    <w:rsid w:val="00195FA2"/>
    <w:rsid w:val="001B3D81"/>
    <w:rsid w:val="001B5187"/>
    <w:rsid w:val="001C3062"/>
    <w:rsid w:val="001D43E8"/>
    <w:rsid w:val="00252DDE"/>
    <w:rsid w:val="0026188A"/>
    <w:rsid w:val="00282E01"/>
    <w:rsid w:val="00294D8D"/>
    <w:rsid w:val="002B2D99"/>
    <w:rsid w:val="00343E2C"/>
    <w:rsid w:val="00344E8B"/>
    <w:rsid w:val="00366BA8"/>
    <w:rsid w:val="00366DB4"/>
    <w:rsid w:val="0037504D"/>
    <w:rsid w:val="003E6A82"/>
    <w:rsid w:val="003E7632"/>
    <w:rsid w:val="00425A17"/>
    <w:rsid w:val="00436F1B"/>
    <w:rsid w:val="0045067E"/>
    <w:rsid w:val="004D155F"/>
    <w:rsid w:val="004E0B86"/>
    <w:rsid w:val="004E794C"/>
    <w:rsid w:val="00505E61"/>
    <w:rsid w:val="00521AE2"/>
    <w:rsid w:val="00530DC9"/>
    <w:rsid w:val="00574DBE"/>
    <w:rsid w:val="00594731"/>
    <w:rsid w:val="005E2044"/>
    <w:rsid w:val="005E2C06"/>
    <w:rsid w:val="006540BF"/>
    <w:rsid w:val="00655713"/>
    <w:rsid w:val="0067091F"/>
    <w:rsid w:val="006761C5"/>
    <w:rsid w:val="006855C4"/>
    <w:rsid w:val="006904B1"/>
    <w:rsid w:val="006B7623"/>
    <w:rsid w:val="006B77D3"/>
    <w:rsid w:val="006D2492"/>
    <w:rsid w:val="006D7979"/>
    <w:rsid w:val="006E1533"/>
    <w:rsid w:val="006E34BB"/>
    <w:rsid w:val="007064E6"/>
    <w:rsid w:val="00707744"/>
    <w:rsid w:val="00725663"/>
    <w:rsid w:val="00740DEB"/>
    <w:rsid w:val="00744C82"/>
    <w:rsid w:val="00752DC8"/>
    <w:rsid w:val="007716EA"/>
    <w:rsid w:val="0078476B"/>
    <w:rsid w:val="00793642"/>
    <w:rsid w:val="007A4283"/>
    <w:rsid w:val="007C6CAE"/>
    <w:rsid w:val="00836486"/>
    <w:rsid w:val="00855C3F"/>
    <w:rsid w:val="008678B5"/>
    <w:rsid w:val="00875953"/>
    <w:rsid w:val="008848F2"/>
    <w:rsid w:val="008920D8"/>
    <w:rsid w:val="0089275F"/>
    <w:rsid w:val="008D7FCD"/>
    <w:rsid w:val="008E3A76"/>
    <w:rsid w:val="00977F7A"/>
    <w:rsid w:val="0098073C"/>
    <w:rsid w:val="00981C51"/>
    <w:rsid w:val="009F1660"/>
    <w:rsid w:val="009F4060"/>
    <w:rsid w:val="00A32D24"/>
    <w:rsid w:val="00A33720"/>
    <w:rsid w:val="00A342CC"/>
    <w:rsid w:val="00A34BC5"/>
    <w:rsid w:val="00A376B9"/>
    <w:rsid w:val="00A828E5"/>
    <w:rsid w:val="00A97C75"/>
    <w:rsid w:val="00AE079A"/>
    <w:rsid w:val="00AF1D26"/>
    <w:rsid w:val="00B030FF"/>
    <w:rsid w:val="00B05FCC"/>
    <w:rsid w:val="00B15023"/>
    <w:rsid w:val="00B154F2"/>
    <w:rsid w:val="00B17D51"/>
    <w:rsid w:val="00B41E1C"/>
    <w:rsid w:val="00B83488"/>
    <w:rsid w:val="00BA1923"/>
    <w:rsid w:val="00BD546F"/>
    <w:rsid w:val="00BE1738"/>
    <w:rsid w:val="00BE53B7"/>
    <w:rsid w:val="00C22D84"/>
    <w:rsid w:val="00C336A4"/>
    <w:rsid w:val="00C44102"/>
    <w:rsid w:val="00C729A7"/>
    <w:rsid w:val="00C812CA"/>
    <w:rsid w:val="00C96365"/>
    <w:rsid w:val="00CA72F3"/>
    <w:rsid w:val="00CB3EDD"/>
    <w:rsid w:val="00CC12B7"/>
    <w:rsid w:val="00CD4F03"/>
    <w:rsid w:val="00CF3B86"/>
    <w:rsid w:val="00D01328"/>
    <w:rsid w:val="00D86599"/>
    <w:rsid w:val="00DC6CAD"/>
    <w:rsid w:val="00DC7014"/>
    <w:rsid w:val="00DE14D2"/>
    <w:rsid w:val="00E44BC1"/>
    <w:rsid w:val="00E47C14"/>
    <w:rsid w:val="00ED598E"/>
    <w:rsid w:val="00EF3ACE"/>
    <w:rsid w:val="00F013B8"/>
    <w:rsid w:val="00F032B8"/>
    <w:rsid w:val="00F52727"/>
    <w:rsid w:val="00F62D75"/>
    <w:rsid w:val="00F6736B"/>
    <w:rsid w:val="00F910C1"/>
    <w:rsid w:val="00FB57A0"/>
    <w:rsid w:val="00FC77C5"/>
    <w:rsid w:val="00FD1833"/>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D47A"/>
  <w15:docId w15:val="{282CCBFF-2C55-4BD8-B714-653D66A5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0382-6240-4E97-BE47-D6119564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Lucy Peto</cp:lastModifiedBy>
  <cp:revision>73</cp:revision>
  <cp:lastPrinted>2017-09-03T11:05:00Z</cp:lastPrinted>
  <dcterms:created xsi:type="dcterms:W3CDTF">2017-06-07T07:14:00Z</dcterms:created>
  <dcterms:modified xsi:type="dcterms:W3CDTF">2017-10-28T15:23:00Z</dcterms:modified>
</cp:coreProperties>
</file>