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895"/>
        <w:gridCol w:w="2876"/>
        <w:gridCol w:w="1019"/>
        <w:gridCol w:w="1532"/>
        <w:gridCol w:w="2364"/>
        <w:gridCol w:w="1948"/>
        <w:gridCol w:w="1948"/>
      </w:tblGrid>
      <w:tr w:rsidR="00B34950">
        <w:trPr>
          <w:trHeight w:val="551"/>
        </w:trPr>
        <w:tc>
          <w:tcPr>
            <w:tcW w:w="7790" w:type="dxa"/>
            <w:gridSpan w:val="3"/>
            <w:shd w:val="pct10" w:color="auto" w:fill="auto"/>
            <w:vAlign w:val="center"/>
          </w:tcPr>
          <w:p w:rsidR="00B34950" w:rsidRDefault="00B43A91">
            <w:pPr>
              <w:jc w:val="center"/>
              <w:rPr>
                <w:b/>
              </w:rPr>
            </w:pPr>
            <w:bookmarkStart w:id="0" w:name="_GoBack"/>
            <w:bookmarkEnd w:id="0"/>
            <w:r>
              <w:rPr>
                <w:b/>
              </w:rPr>
              <w:t>English</w:t>
            </w:r>
          </w:p>
        </w:tc>
        <w:tc>
          <w:tcPr>
            <w:tcW w:w="7792" w:type="dxa"/>
            <w:gridSpan w:val="4"/>
            <w:shd w:val="pct10" w:color="auto" w:fill="auto"/>
            <w:vAlign w:val="center"/>
          </w:tcPr>
          <w:p w:rsidR="00B34950" w:rsidRDefault="00B43A91">
            <w:pPr>
              <w:jc w:val="center"/>
              <w:rPr>
                <w:b/>
              </w:rPr>
            </w:pPr>
            <w:r>
              <w:rPr>
                <w:b/>
              </w:rPr>
              <w:t>Maths</w:t>
            </w:r>
          </w:p>
        </w:tc>
      </w:tr>
      <w:tr w:rsidR="00B34950">
        <w:trPr>
          <w:trHeight w:val="2814"/>
        </w:trPr>
        <w:tc>
          <w:tcPr>
            <w:tcW w:w="7790" w:type="dxa"/>
            <w:gridSpan w:val="3"/>
            <w:tcBorders>
              <w:bottom w:val="single" w:sz="4" w:space="0" w:color="auto"/>
            </w:tcBorders>
          </w:tcPr>
          <w:p w:rsidR="00B34950" w:rsidRDefault="00B43A91">
            <w:pPr>
              <w:rPr>
                <w:rFonts w:cs="Arial"/>
                <w:sz w:val="22"/>
                <w:u w:val="single"/>
              </w:rPr>
            </w:pPr>
            <w:r>
              <w:rPr>
                <w:rFonts w:cs="Arial"/>
                <w:sz w:val="22"/>
                <w:u w:val="single"/>
              </w:rPr>
              <w:t>Narrative</w:t>
            </w:r>
          </w:p>
          <w:p w:rsidR="00B34950" w:rsidRDefault="00B43A91">
            <w:pPr>
              <w:rPr>
                <w:rFonts w:cs="Arial"/>
                <w:sz w:val="22"/>
              </w:rPr>
            </w:pPr>
            <w:r>
              <w:rPr>
                <w:rFonts w:cs="Arial"/>
                <w:sz w:val="22"/>
              </w:rPr>
              <w:t xml:space="preserve">We will be watching a short animation called ‘Taking Flight’ about a little boy who goes on wonderful adventures to imaginary lands with his grandfather.  We will take part in drama and role-play to re-enact these wonderful lands </w:t>
            </w:r>
            <w:r>
              <w:rPr>
                <w:rFonts w:cs="Arial"/>
                <w:sz w:val="22"/>
              </w:rPr>
              <w:t>before playing around with language to use and make wondrous words (including adjectives and verbs to describe settings, characters and feelings).   We will then write about one of the imaginary lands where they could go, using expanded noun phrases to des</w:t>
            </w:r>
            <w:r>
              <w:rPr>
                <w:rFonts w:cs="Arial"/>
                <w:sz w:val="22"/>
              </w:rPr>
              <w:t>cribe the setting and the characters, and conjunctions, verbs and adverbs in creative ways.</w:t>
            </w:r>
          </w:p>
          <w:p w:rsidR="00B34950" w:rsidRDefault="00B43A91">
            <w:pPr>
              <w:rPr>
                <w:rFonts w:cs="Arial"/>
                <w:sz w:val="22"/>
                <w:u w:val="single"/>
              </w:rPr>
            </w:pPr>
            <w:r>
              <w:rPr>
                <w:rFonts w:cs="Arial"/>
                <w:sz w:val="22"/>
                <w:u w:val="single"/>
              </w:rPr>
              <w:t>Poetry</w:t>
            </w:r>
          </w:p>
          <w:p w:rsidR="00B34950" w:rsidRDefault="00B43A91">
            <w:pPr>
              <w:rPr>
                <w:rFonts w:cs="Arial"/>
                <w:color w:val="000000" w:themeColor="text1"/>
                <w:sz w:val="22"/>
              </w:rPr>
            </w:pPr>
            <w:r>
              <w:rPr>
                <w:rFonts w:cs="Arial"/>
                <w:color w:val="000000" w:themeColor="text1"/>
                <w:sz w:val="22"/>
              </w:rPr>
              <w:t xml:space="preserve">We will be exploring and describing scenes of winter wonderlands, using adjectives, nouns, verbs and adverbs to play around with language, including the use </w:t>
            </w:r>
            <w:r>
              <w:rPr>
                <w:rFonts w:cs="Arial"/>
                <w:color w:val="000000" w:themeColor="text1"/>
                <w:sz w:val="22"/>
              </w:rPr>
              <w:t>of rhythm and rhyme.  We will read, enjoy and discuss poems about winter, snow and ice, using our senses, before creating our own winter wonderland poems.</w:t>
            </w:r>
          </w:p>
        </w:tc>
        <w:tc>
          <w:tcPr>
            <w:tcW w:w="7792" w:type="dxa"/>
            <w:gridSpan w:val="4"/>
          </w:tcPr>
          <w:p w:rsidR="00B34950" w:rsidRDefault="00B43A91">
            <w:pPr>
              <w:rPr>
                <w:sz w:val="22"/>
              </w:rPr>
            </w:pPr>
            <w:r>
              <w:rPr>
                <w:sz w:val="22"/>
              </w:rPr>
              <w:t>During this second half term we will continue to focus on number and place value, and addition and su</w:t>
            </w:r>
            <w:r>
              <w:rPr>
                <w:sz w:val="22"/>
              </w:rPr>
              <w:t xml:space="preserve">btraction, to ensure that these concepts are fully embedded and understood before we move onto fractions, and multiplication and division.  We will also focus on shape.  </w:t>
            </w:r>
          </w:p>
          <w:p w:rsidR="00B34950" w:rsidRDefault="00B34950">
            <w:pPr>
              <w:rPr>
                <w:sz w:val="12"/>
                <w:u w:val="single"/>
              </w:rPr>
            </w:pPr>
          </w:p>
          <w:p w:rsidR="00B34950" w:rsidRDefault="00B43A91">
            <w:pPr>
              <w:rPr>
                <w:sz w:val="22"/>
              </w:rPr>
            </w:pPr>
            <w:r>
              <w:rPr>
                <w:sz w:val="22"/>
                <w:u w:val="single"/>
              </w:rPr>
              <w:t>Number and place value</w:t>
            </w:r>
            <w:r>
              <w:rPr>
                <w:sz w:val="22"/>
              </w:rPr>
              <w:t xml:space="preserve"> – counting in steps of 2 and 10; tens and units; comparing an</w:t>
            </w:r>
            <w:r>
              <w:rPr>
                <w:sz w:val="22"/>
              </w:rPr>
              <w:t>d ordering numbers up to 100, using equipment including Numicon, number lines, 100 squares, Dienes blocks (base ten), bead strings, place value arrow cards, place value counters, money etc…</w:t>
            </w:r>
          </w:p>
          <w:p w:rsidR="00B34950" w:rsidRDefault="00B43A91">
            <w:pPr>
              <w:rPr>
                <w:sz w:val="22"/>
              </w:rPr>
            </w:pPr>
            <w:r>
              <w:rPr>
                <w:sz w:val="22"/>
                <w:u w:val="single"/>
              </w:rPr>
              <w:t>Addition and subtraction</w:t>
            </w:r>
            <w:r>
              <w:rPr>
                <w:sz w:val="22"/>
              </w:rPr>
              <w:t xml:space="preserve"> – number facts to 20; inverse operation; </w:t>
            </w:r>
            <w:r>
              <w:rPr>
                <w:sz w:val="22"/>
              </w:rPr>
              <w:t xml:space="preserve">problem solving (including the use of money); addition and subtraction of 2-digit numbers.  </w:t>
            </w:r>
          </w:p>
          <w:p w:rsidR="00B34950" w:rsidRDefault="00B43A91">
            <w:pPr>
              <w:rPr>
                <w:sz w:val="22"/>
              </w:rPr>
            </w:pPr>
            <w:r>
              <w:rPr>
                <w:sz w:val="22"/>
                <w:u w:val="single"/>
              </w:rPr>
              <w:t>Shape</w:t>
            </w:r>
            <w:r>
              <w:rPr>
                <w:sz w:val="22"/>
              </w:rPr>
              <w:t xml:space="preserve"> – the names and properties of 2D and 3D shapes.</w:t>
            </w:r>
          </w:p>
        </w:tc>
      </w:tr>
      <w:tr w:rsidR="00B34950">
        <w:trPr>
          <w:trHeight w:val="570"/>
        </w:trPr>
        <w:tc>
          <w:tcPr>
            <w:tcW w:w="3895" w:type="dxa"/>
            <w:shd w:val="pct12" w:color="auto" w:fill="auto"/>
            <w:vAlign w:val="center"/>
          </w:tcPr>
          <w:p w:rsidR="00B34950" w:rsidRDefault="00B43A91">
            <w:pPr>
              <w:jc w:val="center"/>
              <w:rPr>
                <w:b/>
              </w:rPr>
            </w:pPr>
            <w:r>
              <w:rPr>
                <w:b/>
              </w:rPr>
              <w:t>Science</w:t>
            </w:r>
          </w:p>
        </w:tc>
        <w:tc>
          <w:tcPr>
            <w:tcW w:w="7791" w:type="dxa"/>
            <w:gridSpan w:val="4"/>
            <w:vMerge w:val="restart"/>
            <w:shd w:val="pct12" w:color="auto" w:fill="auto"/>
          </w:tcPr>
          <w:p w:rsidR="00B34950" w:rsidRDefault="00B43A91">
            <w:pPr>
              <w:jc w:val="center"/>
              <w:rPr>
                <w:rFonts w:cs="Arial"/>
                <w:b/>
                <w:sz w:val="28"/>
              </w:rPr>
            </w:pPr>
            <w:r>
              <w:rPr>
                <w:rFonts w:cs="Arial"/>
                <w:b/>
                <w:sz w:val="28"/>
              </w:rPr>
              <w:t xml:space="preserve">Year 2 Sycamore Class Topic Web </w:t>
            </w:r>
          </w:p>
          <w:p w:rsidR="00B34950" w:rsidRDefault="00B43A91">
            <w:pPr>
              <w:jc w:val="center"/>
              <w:rPr>
                <w:rFonts w:cs="Arial"/>
                <w:b/>
                <w:sz w:val="28"/>
              </w:rPr>
            </w:pPr>
            <w:r>
              <w:rPr>
                <w:rFonts w:cs="Arial"/>
                <w:b/>
                <w:sz w:val="28"/>
              </w:rPr>
              <w:t>Autumn Term 2 2017</w:t>
            </w:r>
          </w:p>
        </w:tc>
        <w:tc>
          <w:tcPr>
            <w:tcW w:w="3896" w:type="dxa"/>
            <w:gridSpan w:val="2"/>
            <w:shd w:val="pct12" w:color="auto" w:fill="auto"/>
            <w:vAlign w:val="center"/>
          </w:tcPr>
          <w:p w:rsidR="00B34950" w:rsidRDefault="00B43A91">
            <w:pPr>
              <w:jc w:val="center"/>
              <w:rPr>
                <w:b/>
              </w:rPr>
            </w:pPr>
            <w:r>
              <w:rPr>
                <w:b/>
              </w:rPr>
              <w:t>D&amp;T</w:t>
            </w:r>
          </w:p>
        </w:tc>
      </w:tr>
      <w:tr w:rsidR="00B34950">
        <w:trPr>
          <w:trHeight w:val="293"/>
        </w:trPr>
        <w:tc>
          <w:tcPr>
            <w:tcW w:w="3895" w:type="dxa"/>
            <w:vMerge w:val="restart"/>
          </w:tcPr>
          <w:p w:rsidR="00B34950" w:rsidRDefault="00B43A91">
            <w:pPr>
              <w:rPr>
                <w:sz w:val="22"/>
                <w:u w:val="single"/>
              </w:rPr>
            </w:pPr>
            <w:r>
              <w:rPr>
                <w:sz w:val="22"/>
                <w:u w:val="single"/>
              </w:rPr>
              <w:t>Materials and their properties</w:t>
            </w:r>
          </w:p>
          <w:p w:rsidR="00B34950" w:rsidRDefault="00B43A91">
            <w:pPr>
              <w:rPr>
                <w:sz w:val="22"/>
              </w:rPr>
            </w:pPr>
            <w:r>
              <w:rPr>
                <w:sz w:val="22"/>
              </w:rPr>
              <w:t xml:space="preserve">We will be </w:t>
            </w:r>
            <w:r>
              <w:rPr>
                <w:sz w:val="22"/>
              </w:rPr>
              <w:t>exploring different materials, including wood, plastic, fabric, stone, brick, glass, paper, card, metal etc…</w:t>
            </w:r>
          </w:p>
          <w:p w:rsidR="00B34950" w:rsidRDefault="00B43A91">
            <w:pPr>
              <w:rPr>
                <w:sz w:val="22"/>
              </w:rPr>
            </w:pPr>
            <w:r>
              <w:rPr>
                <w:sz w:val="22"/>
              </w:rPr>
              <w:t>We will explore which materials are suitable for different purposes and why, as well as investigating how they can be changed.</w:t>
            </w:r>
          </w:p>
          <w:p w:rsidR="00B34950" w:rsidRDefault="00B43A91">
            <w:pPr>
              <w:rPr>
                <w:sz w:val="22"/>
              </w:rPr>
            </w:pPr>
            <w:r>
              <w:rPr>
                <w:sz w:val="22"/>
              </w:rPr>
              <w:t>We will then plan an</w:t>
            </w:r>
            <w:r>
              <w:rPr>
                <w:sz w:val="22"/>
              </w:rPr>
              <w:t>d carry out an investigation about the strength of different materials.</w:t>
            </w:r>
          </w:p>
          <w:p w:rsidR="00B34950" w:rsidRDefault="00B34950">
            <w:pPr>
              <w:rPr>
                <w:sz w:val="22"/>
              </w:rPr>
            </w:pPr>
          </w:p>
          <w:p w:rsidR="00B34950" w:rsidRDefault="00B34950"/>
        </w:tc>
        <w:tc>
          <w:tcPr>
            <w:tcW w:w="7791" w:type="dxa"/>
            <w:gridSpan w:val="4"/>
            <w:vMerge/>
            <w:tcBorders>
              <w:bottom w:val="single" w:sz="4" w:space="0" w:color="auto"/>
            </w:tcBorders>
            <w:shd w:val="pct12" w:color="auto" w:fill="auto"/>
          </w:tcPr>
          <w:p w:rsidR="00B34950" w:rsidRDefault="00B34950"/>
        </w:tc>
        <w:tc>
          <w:tcPr>
            <w:tcW w:w="3896" w:type="dxa"/>
            <w:gridSpan w:val="2"/>
            <w:vMerge w:val="restart"/>
          </w:tcPr>
          <w:p w:rsidR="00B34950" w:rsidRDefault="00B43A91">
            <w:pPr>
              <w:rPr>
                <w:sz w:val="22"/>
                <w:u w:val="single"/>
              </w:rPr>
            </w:pPr>
            <w:r>
              <w:rPr>
                <w:sz w:val="22"/>
                <w:u w:val="single"/>
              </w:rPr>
              <w:t>Wheeled toys</w:t>
            </w:r>
          </w:p>
          <w:p w:rsidR="00B34950" w:rsidRDefault="00B43A91">
            <w:r>
              <w:rPr>
                <w:sz w:val="22"/>
              </w:rPr>
              <w:t>We will be exploring and investigating different wheeled toys – looking at how they are constructed and what the different components are (e.g. axle, axle support, chas</w:t>
            </w:r>
            <w:r>
              <w:rPr>
                <w:sz w:val="22"/>
              </w:rPr>
              <w:t>sis, wheel, body etc…).  We will then design and make a wheeled vehicle that could take the little boy and his grandfather to wondrous imaginary worlds.</w:t>
            </w:r>
          </w:p>
        </w:tc>
      </w:tr>
      <w:tr w:rsidR="00B34950">
        <w:trPr>
          <w:trHeight w:val="3375"/>
        </w:trPr>
        <w:tc>
          <w:tcPr>
            <w:tcW w:w="3895" w:type="dxa"/>
            <w:vMerge/>
            <w:tcBorders>
              <w:bottom w:val="single" w:sz="4" w:space="0" w:color="auto"/>
            </w:tcBorders>
          </w:tcPr>
          <w:p w:rsidR="00B34950" w:rsidRDefault="00B34950">
            <w:pPr>
              <w:rPr>
                <w:sz w:val="22"/>
              </w:rPr>
            </w:pPr>
          </w:p>
        </w:tc>
        <w:tc>
          <w:tcPr>
            <w:tcW w:w="7791" w:type="dxa"/>
            <w:gridSpan w:val="4"/>
            <w:tcBorders>
              <w:bottom w:val="single" w:sz="4" w:space="0" w:color="auto"/>
            </w:tcBorders>
          </w:tcPr>
          <w:p w:rsidR="00B34950" w:rsidRDefault="00B34950">
            <w:pPr>
              <w:jc w:val="center"/>
              <w:rPr>
                <w:rFonts w:ascii="Ravie" w:hAnsi="Ravie" w:cs="Arial"/>
                <w:b/>
                <w:sz w:val="14"/>
              </w:rPr>
            </w:pPr>
          </w:p>
          <w:p w:rsidR="00B34950" w:rsidRDefault="00B43A91">
            <w:pPr>
              <w:jc w:val="center"/>
              <w:rPr>
                <w:rFonts w:ascii="Ravie" w:hAnsi="Ravie" w:cs="Arial"/>
                <w:b/>
                <w:sz w:val="28"/>
              </w:rPr>
            </w:pPr>
            <w:r>
              <w:rPr>
                <w:rFonts w:ascii="Ravie" w:hAnsi="Ravie" w:cs="Arial"/>
                <w:b/>
                <w:sz w:val="28"/>
              </w:rPr>
              <w:t>Wonderful Wondrous Wonderlands</w:t>
            </w:r>
          </w:p>
          <w:p w:rsidR="00B34950" w:rsidRDefault="00B34950">
            <w:pPr>
              <w:jc w:val="center"/>
              <w:rPr>
                <w:rFonts w:ascii="Ravie" w:hAnsi="Ravie" w:cs="Arial"/>
                <w:b/>
                <w:sz w:val="16"/>
              </w:rPr>
            </w:pPr>
          </w:p>
          <w:p w:rsidR="00B34950" w:rsidRDefault="00B43A91">
            <w:pPr>
              <w:rPr>
                <w:rFonts w:ascii="Arial" w:hAnsi="Arial" w:cs="Arial"/>
                <w:sz w:val="28"/>
              </w:rPr>
            </w:pPr>
            <w:r>
              <w:rPr>
                <w:noProof/>
                <w:lang w:val="en-GB" w:eastAsia="en-GB"/>
              </w:rPr>
              <w:drawing>
                <wp:anchor distT="0" distB="0" distL="114300" distR="114300" simplePos="0" relativeHeight="251672576" behindDoc="0" locked="0" layoutInCell="1" allowOverlap="1">
                  <wp:simplePos x="0" y="0"/>
                  <wp:positionH relativeFrom="column">
                    <wp:posOffset>78105</wp:posOffset>
                  </wp:positionH>
                  <wp:positionV relativeFrom="paragraph">
                    <wp:posOffset>65405</wp:posOffset>
                  </wp:positionV>
                  <wp:extent cx="2310765" cy="1311910"/>
                  <wp:effectExtent l="0" t="0" r="0" b="2540"/>
                  <wp:wrapNone/>
                  <wp:docPr id="1" name="Picture 1" descr="Image result for taking flight literacy s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king flight literacy sh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1076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73600" behindDoc="0" locked="0" layoutInCell="1" allowOverlap="1">
                  <wp:simplePos x="0" y="0"/>
                  <wp:positionH relativeFrom="column">
                    <wp:posOffset>2655281</wp:posOffset>
                  </wp:positionH>
                  <wp:positionV relativeFrom="paragraph">
                    <wp:posOffset>64135</wp:posOffset>
                  </wp:positionV>
                  <wp:extent cx="2083513" cy="1288473"/>
                  <wp:effectExtent l="0" t="0" r="0" b="6985"/>
                  <wp:wrapNone/>
                  <wp:docPr id="2" name="Picture 2" descr="Image result for winter won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ter wonderla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3513" cy="12884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8"/>
              </w:rPr>
              <w:t xml:space="preserve">              </w:t>
            </w:r>
          </w:p>
          <w:p w:rsidR="00B34950" w:rsidRDefault="00B43A91">
            <w:pPr>
              <w:numPr>
                <w:ilvl w:val="0"/>
                <w:numId w:val="1"/>
              </w:numPr>
              <w:ind w:left="0"/>
              <w:rPr>
                <w:rFonts w:ascii="Arial" w:eastAsia="Times New Roman" w:hAnsi="Arial" w:cs="Arial"/>
                <w:color w:val="222222"/>
                <w:sz w:val="27"/>
                <w:szCs w:val="27"/>
                <w:lang w:val="en-GB" w:eastAsia="en-GB"/>
              </w:rPr>
            </w:pPr>
            <w:r>
              <w:rPr>
                <w:rFonts w:ascii="Arial" w:hAnsi="Arial" w:cs="Arial"/>
                <w:sz w:val="28"/>
              </w:rPr>
              <w:t xml:space="preserve">                  </w:t>
            </w:r>
            <w:r>
              <w:rPr>
                <w:noProof/>
                <w:lang w:val="en-GB" w:eastAsia="en-GB"/>
              </w:rPr>
              <w:t xml:space="preserve"> </w:t>
            </w:r>
            <w:r>
              <w:rPr>
                <w:noProof/>
                <w:lang w:val="en-GB" w:eastAsia="en-GB"/>
              </w:rPr>
              <w:drawing>
                <wp:anchor distT="36576" distB="36576" distL="36576" distR="36576" simplePos="0" relativeHeight="251671552" behindDoc="0" locked="0" layoutInCell="1" allowOverlap="1">
                  <wp:simplePos x="0" y="0"/>
                  <wp:positionH relativeFrom="column">
                    <wp:posOffset>48754665</wp:posOffset>
                  </wp:positionH>
                  <wp:positionV relativeFrom="paragraph">
                    <wp:posOffset>1691640</wp:posOffset>
                  </wp:positionV>
                  <wp:extent cx="4162425" cy="3843020"/>
                  <wp:effectExtent l="0" t="0" r="9525" b="5080"/>
                  <wp:wrapNone/>
                  <wp:docPr id="10" name="Picture 10" descr="green-australia-map-h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en-australia-map-hi[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3843020"/>
                          </a:xfrm>
                          <a:prstGeom prst="rect">
                            <a:avLst/>
                          </a:prstGeom>
                          <a:noFill/>
                          <a:ln>
                            <a:noFill/>
                          </a:ln>
                          <a:effectLst/>
                        </pic:spPr>
                      </pic:pic>
                    </a:graphicData>
                  </a:graphic>
                </wp:anchor>
              </w:drawing>
            </w:r>
            <w:r>
              <w:rPr>
                <w:rFonts w:ascii="Arial" w:hAnsi="Arial" w:cs="Arial"/>
                <w:sz w:val="28"/>
              </w:rPr>
              <w:t xml:space="preserve">  </w:t>
            </w:r>
          </w:p>
          <w:p w:rsidR="00B34950" w:rsidRDefault="00B43A91">
            <w:r>
              <w:rPr>
                <w:noProof/>
                <w:color w:val="0000FF"/>
                <w:lang w:val="en-GB" w:eastAsia="en-GB"/>
              </w:rPr>
              <w:t xml:space="preserve"> </w:t>
            </w:r>
          </w:p>
        </w:tc>
        <w:tc>
          <w:tcPr>
            <w:tcW w:w="3896" w:type="dxa"/>
            <w:gridSpan w:val="2"/>
            <w:vMerge/>
            <w:tcBorders>
              <w:bottom w:val="single" w:sz="4" w:space="0" w:color="auto"/>
            </w:tcBorders>
          </w:tcPr>
          <w:p w:rsidR="00B34950" w:rsidRDefault="00B34950">
            <w:pPr>
              <w:rPr>
                <w:sz w:val="22"/>
              </w:rPr>
            </w:pPr>
          </w:p>
        </w:tc>
      </w:tr>
      <w:tr w:rsidR="00B34950">
        <w:trPr>
          <w:trHeight w:val="572"/>
        </w:trPr>
        <w:tc>
          <w:tcPr>
            <w:tcW w:w="3895" w:type="dxa"/>
            <w:shd w:val="pct12" w:color="auto" w:fill="auto"/>
            <w:vAlign w:val="center"/>
          </w:tcPr>
          <w:p w:rsidR="00B34950" w:rsidRDefault="00B43A91">
            <w:pPr>
              <w:jc w:val="center"/>
              <w:rPr>
                <w:b/>
              </w:rPr>
            </w:pPr>
            <w:r>
              <w:rPr>
                <w:b/>
              </w:rPr>
              <w:t>RE</w:t>
            </w:r>
          </w:p>
        </w:tc>
        <w:tc>
          <w:tcPr>
            <w:tcW w:w="2876" w:type="dxa"/>
            <w:shd w:val="pct12" w:color="auto" w:fill="auto"/>
            <w:vAlign w:val="center"/>
          </w:tcPr>
          <w:p w:rsidR="00B34950" w:rsidRDefault="00B43A91">
            <w:pPr>
              <w:jc w:val="center"/>
              <w:rPr>
                <w:b/>
              </w:rPr>
            </w:pPr>
            <w:r>
              <w:rPr>
                <w:b/>
              </w:rPr>
              <w:t>Art</w:t>
            </w:r>
          </w:p>
        </w:tc>
        <w:tc>
          <w:tcPr>
            <w:tcW w:w="2551" w:type="dxa"/>
            <w:gridSpan w:val="2"/>
            <w:shd w:val="pct12" w:color="auto" w:fill="auto"/>
            <w:vAlign w:val="center"/>
          </w:tcPr>
          <w:p w:rsidR="00B34950" w:rsidRDefault="00B43A91">
            <w:pPr>
              <w:jc w:val="center"/>
              <w:rPr>
                <w:b/>
              </w:rPr>
            </w:pPr>
            <w:r>
              <w:rPr>
                <w:b/>
              </w:rPr>
              <w:t xml:space="preserve">Computing </w:t>
            </w:r>
          </w:p>
        </w:tc>
        <w:tc>
          <w:tcPr>
            <w:tcW w:w="2364" w:type="dxa"/>
            <w:shd w:val="pct12" w:color="auto" w:fill="auto"/>
            <w:vAlign w:val="center"/>
          </w:tcPr>
          <w:p w:rsidR="00B34950" w:rsidRDefault="00B43A91">
            <w:pPr>
              <w:jc w:val="center"/>
              <w:rPr>
                <w:b/>
              </w:rPr>
            </w:pPr>
            <w:r>
              <w:rPr>
                <w:b/>
              </w:rPr>
              <w:t>PSHE /</w:t>
            </w:r>
            <w:r>
              <w:rPr>
                <w:b/>
              </w:rPr>
              <w:t xml:space="preserve"> SEAL</w:t>
            </w:r>
          </w:p>
        </w:tc>
        <w:tc>
          <w:tcPr>
            <w:tcW w:w="1948" w:type="dxa"/>
            <w:shd w:val="pct12" w:color="auto" w:fill="auto"/>
            <w:vAlign w:val="center"/>
          </w:tcPr>
          <w:p w:rsidR="00B34950" w:rsidRDefault="00B43A91">
            <w:pPr>
              <w:jc w:val="center"/>
              <w:rPr>
                <w:b/>
              </w:rPr>
            </w:pPr>
            <w:r>
              <w:rPr>
                <w:b/>
              </w:rPr>
              <w:t>PE</w:t>
            </w:r>
          </w:p>
        </w:tc>
        <w:tc>
          <w:tcPr>
            <w:tcW w:w="1948" w:type="dxa"/>
            <w:shd w:val="pct12" w:color="auto" w:fill="auto"/>
            <w:vAlign w:val="center"/>
          </w:tcPr>
          <w:p w:rsidR="00B34950" w:rsidRDefault="00B43A91">
            <w:pPr>
              <w:jc w:val="center"/>
              <w:rPr>
                <w:b/>
              </w:rPr>
            </w:pPr>
            <w:r>
              <w:rPr>
                <w:b/>
              </w:rPr>
              <w:t>Music</w:t>
            </w:r>
          </w:p>
        </w:tc>
      </w:tr>
      <w:tr w:rsidR="00B34950">
        <w:trPr>
          <w:trHeight w:val="1257"/>
        </w:trPr>
        <w:tc>
          <w:tcPr>
            <w:tcW w:w="3895" w:type="dxa"/>
          </w:tcPr>
          <w:p w:rsidR="00B34950" w:rsidRDefault="00B43A91">
            <w:pPr>
              <w:rPr>
                <w:sz w:val="22"/>
              </w:rPr>
            </w:pPr>
            <w:r>
              <w:rPr>
                <w:sz w:val="22"/>
              </w:rPr>
              <w:t>Incarnation / Celebration</w:t>
            </w:r>
          </w:p>
        </w:tc>
        <w:tc>
          <w:tcPr>
            <w:tcW w:w="2876" w:type="dxa"/>
          </w:tcPr>
          <w:p w:rsidR="00B34950" w:rsidRDefault="00B43A91">
            <w:pPr>
              <w:rPr>
                <w:sz w:val="22"/>
              </w:rPr>
            </w:pPr>
            <w:r>
              <w:rPr>
                <w:sz w:val="22"/>
              </w:rPr>
              <w:t>Exploring and experimenting with different media to create different imaginary worlds and landscapes.</w:t>
            </w:r>
          </w:p>
        </w:tc>
        <w:tc>
          <w:tcPr>
            <w:tcW w:w="2551" w:type="dxa"/>
            <w:gridSpan w:val="2"/>
          </w:tcPr>
          <w:p w:rsidR="00B34950" w:rsidRDefault="00B43A91">
            <w:pPr>
              <w:rPr>
                <w:sz w:val="22"/>
              </w:rPr>
            </w:pPr>
            <w:r>
              <w:rPr>
                <w:sz w:val="22"/>
              </w:rPr>
              <w:t>Coding – Purple Mash</w:t>
            </w:r>
          </w:p>
        </w:tc>
        <w:tc>
          <w:tcPr>
            <w:tcW w:w="2364" w:type="dxa"/>
          </w:tcPr>
          <w:p w:rsidR="00B34950" w:rsidRDefault="00B43A91">
            <w:pPr>
              <w:rPr>
                <w:sz w:val="22"/>
              </w:rPr>
            </w:pPr>
            <w:r>
              <w:rPr>
                <w:sz w:val="22"/>
              </w:rPr>
              <w:t>Say No to Bullying</w:t>
            </w:r>
          </w:p>
        </w:tc>
        <w:tc>
          <w:tcPr>
            <w:tcW w:w="1948" w:type="dxa"/>
          </w:tcPr>
          <w:p w:rsidR="00B34950" w:rsidRDefault="00B43A91">
            <w:pPr>
              <w:rPr>
                <w:sz w:val="22"/>
              </w:rPr>
            </w:pPr>
            <w:r>
              <w:rPr>
                <w:sz w:val="22"/>
              </w:rPr>
              <w:t>Sports Coach</w:t>
            </w:r>
          </w:p>
        </w:tc>
        <w:tc>
          <w:tcPr>
            <w:tcW w:w="1948" w:type="dxa"/>
          </w:tcPr>
          <w:p w:rsidR="00B34950" w:rsidRDefault="00B43A91">
            <w:pPr>
              <w:rPr>
                <w:sz w:val="22"/>
              </w:rPr>
            </w:pPr>
            <w:r>
              <w:rPr>
                <w:sz w:val="22"/>
              </w:rPr>
              <w:t>Feel the pulse – Exploring pulse and rhythm</w:t>
            </w:r>
          </w:p>
        </w:tc>
      </w:tr>
    </w:tbl>
    <w:p w:rsidR="00B34950" w:rsidRDefault="00B34950">
      <w:pPr>
        <w:rPr>
          <w:sz w:val="18"/>
        </w:rPr>
      </w:pPr>
    </w:p>
    <w:sectPr w:rsidR="00B3495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Ravie">
    <w:panose1 w:val="040408050508090206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94C58"/>
    <w:multiLevelType w:val="multilevel"/>
    <w:tmpl w:val="19288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50"/>
    <w:rsid w:val="00B34950"/>
    <w:rsid w:val="00B43A9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Lennon</dc:creator>
  <cp:lastModifiedBy>Jan Munt</cp:lastModifiedBy>
  <cp:revision>2</cp:revision>
  <cp:lastPrinted>2017-09-07T14:30:00Z</cp:lastPrinted>
  <dcterms:created xsi:type="dcterms:W3CDTF">2017-10-29T14:40:00Z</dcterms:created>
  <dcterms:modified xsi:type="dcterms:W3CDTF">2017-10-29T14:40:00Z</dcterms:modified>
</cp:coreProperties>
</file>