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5"/>
        <w:gridCol w:w="2876"/>
        <w:gridCol w:w="1019"/>
        <w:gridCol w:w="1532"/>
        <w:gridCol w:w="2364"/>
        <w:gridCol w:w="1948"/>
        <w:gridCol w:w="1948"/>
      </w:tblGrid>
      <w:tr w:rsidR="00987284">
        <w:trPr>
          <w:trHeight w:val="551"/>
        </w:trPr>
        <w:tc>
          <w:tcPr>
            <w:tcW w:w="7790" w:type="dxa"/>
            <w:gridSpan w:val="3"/>
            <w:shd w:val="pct10" w:color="auto" w:fill="auto"/>
            <w:vAlign w:val="center"/>
          </w:tcPr>
          <w:p w:rsidR="00987284" w:rsidRDefault="0097226C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7792" w:type="dxa"/>
            <w:gridSpan w:val="4"/>
            <w:shd w:val="pct10" w:color="auto" w:fill="auto"/>
            <w:vAlign w:val="center"/>
          </w:tcPr>
          <w:p w:rsidR="00987284" w:rsidRDefault="0097226C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</w:tc>
      </w:tr>
      <w:tr w:rsidR="00987284">
        <w:trPr>
          <w:trHeight w:val="2814"/>
        </w:trPr>
        <w:tc>
          <w:tcPr>
            <w:tcW w:w="7790" w:type="dxa"/>
            <w:gridSpan w:val="3"/>
            <w:tcBorders>
              <w:bottom w:val="single" w:sz="4" w:space="0" w:color="auto"/>
            </w:tcBorders>
          </w:tcPr>
          <w:p w:rsidR="00987284" w:rsidRDefault="0097226C">
            <w:pPr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t>Narrative</w:t>
            </w:r>
          </w:p>
          <w:p w:rsidR="003A07F4" w:rsidRDefault="00F533D1" w:rsidP="003A07F4">
            <w:pPr>
              <w:rPr>
                <w:color w:val="000000" w:themeColor="text1"/>
              </w:rPr>
            </w:pPr>
            <w:r>
              <w:rPr>
                <w:rFonts w:cs="Arial"/>
                <w:sz w:val="22"/>
              </w:rPr>
              <w:t>We will be reading a series of books about Emily Brown by C</w:t>
            </w:r>
            <w:r w:rsidR="003A07F4">
              <w:rPr>
                <w:rFonts w:cs="Arial"/>
                <w:sz w:val="22"/>
              </w:rPr>
              <w:t xml:space="preserve">ressida Cowell to link with our topic on Toys.  </w:t>
            </w:r>
            <w:r w:rsidR="003A07F4">
              <w:rPr>
                <w:color w:val="000000" w:themeColor="text1"/>
              </w:rPr>
              <w:t xml:space="preserve">Children </w:t>
            </w:r>
            <w:r w:rsidR="003A07F4">
              <w:rPr>
                <w:color w:val="000000" w:themeColor="text1"/>
              </w:rPr>
              <w:t>will then create their own</w:t>
            </w:r>
            <w:r w:rsidR="003A07F4">
              <w:rPr>
                <w:color w:val="000000" w:themeColor="text1"/>
              </w:rPr>
              <w:t xml:space="preserve"> short narrative</w:t>
            </w:r>
            <w:r w:rsidR="003A07F4">
              <w:rPr>
                <w:color w:val="000000" w:themeColor="text1"/>
              </w:rPr>
              <w:t xml:space="preserve">s focusing on common exception word spellings and forming sentences correctly. </w:t>
            </w:r>
            <w:r w:rsidR="003A07F4">
              <w:rPr>
                <w:color w:val="000000" w:themeColor="text1"/>
              </w:rPr>
              <w:t xml:space="preserve">  </w:t>
            </w:r>
            <w:r w:rsidR="00BB3A6B">
              <w:rPr>
                <w:color w:val="000000" w:themeColor="text1"/>
              </w:rPr>
              <w:t xml:space="preserve">Within the unit, they will </w:t>
            </w:r>
            <w:r w:rsidR="003A07F4">
              <w:rPr>
                <w:color w:val="000000" w:themeColor="text1"/>
              </w:rPr>
              <w:t>use other forms, including poetry and non-fiction.</w:t>
            </w:r>
          </w:p>
          <w:p w:rsidR="003A07F4" w:rsidRDefault="003A07F4" w:rsidP="003A07F4">
            <w:pPr>
              <w:rPr>
                <w:color w:val="000000" w:themeColor="text1"/>
              </w:rPr>
            </w:pPr>
          </w:p>
          <w:p w:rsidR="003A07F4" w:rsidRDefault="003A07F4" w:rsidP="003A07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 will also retell stories through role play and puppet shows</w:t>
            </w:r>
          </w:p>
          <w:p w:rsidR="00F533D1" w:rsidRDefault="00F533D1">
            <w:pPr>
              <w:rPr>
                <w:rFonts w:cs="Arial"/>
                <w:sz w:val="22"/>
              </w:rPr>
            </w:pPr>
          </w:p>
          <w:p w:rsidR="00F533D1" w:rsidRDefault="00F533D1">
            <w:pPr>
              <w:rPr>
                <w:rFonts w:cs="Arial"/>
                <w:sz w:val="22"/>
                <w:u w:val="single"/>
              </w:rPr>
            </w:pPr>
          </w:p>
          <w:p w:rsidR="00987284" w:rsidRDefault="00987284" w:rsidP="00F533D1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7792" w:type="dxa"/>
            <w:gridSpan w:val="4"/>
          </w:tcPr>
          <w:p w:rsidR="00987284" w:rsidRPr="00BB3A6B" w:rsidRDefault="0097226C">
            <w:pPr>
              <w:rPr>
                <w:sz w:val="20"/>
                <w:szCs w:val="20"/>
              </w:rPr>
            </w:pPr>
            <w:r w:rsidRPr="00BB3A6B">
              <w:rPr>
                <w:sz w:val="20"/>
                <w:szCs w:val="20"/>
              </w:rPr>
              <w:t>During this second half term we will continue to focus on number and place value, and addition and su</w:t>
            </w:r>
            <w:r w:rsidRPr="00BB3A6B">
              <w:rPr>
                <w:sz w:val="20"/>
                <w:szCs w:val="20"/>
              </w:rPr>
              <w:t>btraction, to ensure that these concepts are fully embedded and understoo</w:t>
            </w:r>
            <w:r w:rsidR="009562D0" w:rsidRPr="00BB3A6B">
              <w:rPr>
                <w:sz w:val="20"/>
                <w:szCs w:val="20"/>
              </w:rPr>
              <w:t xml:space="preserve">d.  </w:t>
            </w:r>
            <w:r w:rsidRPr="00BB3A6B">
              <w:rPr>
                <w:sz w:val="20"/>
                <w:szCs w:val="20"/>
              </w:rPr>
              <w:t xml:space="preserve">We will also focus on shape.  </w:t>
            </w:r>
          </w:p>
          <w:p w:rsidR="009562D0" w:rsidRPr="00BB3A6B" w:rsidRDefault="0097226C">
            <w:pPr>
              <w:rPr>
                <w:sz w:val="20"/>
                <w:szCs w:val="20"/>
              </w:rPr>
            </w:pPr>
            <w:r w:rsidRPr="00BB3A6B">
              <w:rPr>
                <w:sz w:val="20"/>
                <w:szCs w:val="20"/>
                <w:u w:val="single"/>
              </w:rPr>
              <w:t>Number and place value</w:t>
            </w:r>
            <w:r w:rsidRPr="00BB3A6B">
              <w:rPr>
                <w:sz w:val="20"/>
                <w:szCs w:val="20"/>
              </w:rPr>
              <w:t xml:space="preserve"> –</w:t>
            </w:r>
            <w:r w:rsidR="009562D0" w:rsidRPr="00BB3A6B">
              <w:rPr>
                <w:sz w:val="20"/>
                <w:szCs w:val="20"/>
              </w:rPr>
              <w:t>Count to twenty forwards and backwards, beginning with 0 or 1 from any given number; count, read and write numbers to 20 in numerals and words; given a number, identify one more or one less; identify and represent numbers using objects and pictorial representations including the number line, and use the language of equal to, more than, less than (fewer), most, least.</w:t>
            </w:r>
          </w:p>
          <w:p w:rsidR="009562D0" w:rsidRPr="00BB3A6B" w:rsidRDefault="0097226C" w:rsidP="009562D0">
            <w:pPr>
              <w:rPr>
                <w:sz w:val="20"/>
                <w:szCs w:val="20"/>
              </w:rPr>
            </w:pPr>
            <w:r w:rsidRPr="00BB3A6B">
              <w:rPr>
                <w:sz w:val="20"/>
                <w:szCs w:val="20"/>
                <w:u w:val="single"/>
              </w:rPr>
              <w:t>Addition and subtraction</w:t>
            </w:r>
            <w:r w:rsidRPr="00BB3A6B">
              <w:rPr>
                <w:sz w:val="20"/>
                <w:szCs w:val="20"/>
              </w:rPr>
              <w:t xml:space="preserve"> – </w:t>
            </w:r>
            <w:r w:rsidR="009562D0" w:rsidRPr="00BB3A6B">
              <w:rPr>
                <w:sz w:val="20"/>
                <w:szCs w:val="20"/>
              </w:rPr>
              <w:t>Represent and use number bonds and related subtraction facts within 10; read, write and interpret mathematical statements involving +,-, and = signs; add and subtract one digit numbers to 10 including zero; solve one step problems that involve + and -, using concrete objects and pictorial representations and missing number problems.</w:t>
            </w:r>
          </w:p>
          <w:p w:rsidR="00987284" w:rsidRDefault="009562D0">
            <w:pPr>
              <w:rPr>
                <w:sz w:val="22"/>
              </w:rPr>
            </w:pPr>
            <w:r w:rsidRPr="00BB3A6B">
              <w:rPr>
                <w:sz w:val="20"/>
                <w:szCs w:val="20"/>
                <w:u w:val="single"/>
              </w:rPr>
              <w:t>Shape</w:t>
            </w:r>
            <w:r w:rsidRPr="00BB3A6B">
              <w:rPr>
                <w:sz w:val="20"/>
                <w:szCs w:val="20"/>
              </w:rPr>
              <w:t xml:space="preserve">- </w:t>
            </w:r>
            <w:proofErr w:type="spellStart"/>
            <w:r w:rsidRPr="00BB3A6B">
              <w:rPr>
                <w:sz w:val="20"/>
                <w:szCs w:val="20"/>
              </w:rPr>
              <w:t>Recognise</w:t>
            </w:r>
            <w:proofErr w:type="spellEnd"/>
            <w:r w:rsidRPr="00BB3A6B">
              <w:rPr>
                <w:sz w:val="20"/>
                <w:szCs w:val="20"/>
              </w:rPr>
              <w:t xml:space="preserve"> and name common 2D and 3D shapes</w:t>
            </w:r>
          </w:p>
        </w:tc>
      </w:tr>
      <w:tr w:rsidR="00987284">
        <w:trPr>
          <w:trHeight w:val="570"/>
        </w:trPr>
        <w:tc>
          <w:tcPr>
            <w:tcW w:w="3895" w:type="dxa"/>
            <w:shd w:val="pct12" w:color="auto" w:fill="auto"/>
            <w:vAlign w:val="center"/>
          </w:tcPr>
          <w:p w:rsidR="00987284" w:rsidRDefault="0097226C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7791" w:type="dxa"/>
            <w:gridSpan w:val="4"/>
            <w:vMerge w:val="restart"/>
            <w:shd w:val="pct12" w:color="auto" w:fill="auto"/>
          </w:tcPr>
          <w:p w:rsidR="00987284" w:rsidRDefault="0097226C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 xml:space="preserve">Year 2 </w:t>
            </w:r>
            <w:r w:rsidR="00242838">
              <w:rPr>
                <w:rFonts w:cs="Arial"/>
                <w:b/>
                <w:sz w:val="28"/>
              </w:rPr>
              <w:t xml:space="preserve">Willow </w:t>
            </w:r>
            <w:r>
              <w:rPr>
                <w:rFonts w:cs="Arial"/>
                <w:b/>
                <w:sz w:val="28"/>
              </w:rPr>
              <w:t xml:space="preserve">Class Topic Web </w:t>
            </w:r>
          </w:p>
          <w:p w:rsidR="00987284" w:rsidRDefault="0097226C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Autumn Term 2 2017</w:t>
            </w:r>
          </w:p>
        </w:tc>
        <w:tc>
          <w:tcPr>
            <w:tcW w:w="3896" w:type="dxa"/>
            <w:gridSpan w:val="2"/>
            <w:shd w:val="pct12" w:color="auto" w:fill="auto"/>
            <w:vAlign w:val="center"/>
          </w:tcPr>
          <w:p w:rsidR="00987284" w:rsidRDefault="00D3702D" w:rsidP="00D3702D">
            <w:pPr>
              <w:jc w:val="center"/>
              <w:rPr>
                <w:b/>
              </w:rPr>
            </w:pPr>
            <w:r>
              <w:rPr>
                <w:b/>
              </w:rPr>
              <w:t>History</w:t>
            </w:r>
          </w:p>
        </w:tc>
      </w:tr>
      <w:tr w:rsidR="00987284">
        <w:trPr>
          <w:trHeight w:val="293"/>
        </w:trPr>
        <w:tc>
          <w:tcPr>
            <w:tcW w:w="3895" w:type="dxa"/>
            <w:vMerge w:val="restart"/>
          </w:tcPr>
          <w:p w:rsidR="00AB2B04" w:rsidRDefault="00AB2B04" w:rsidP="00AB2B04">
            <w:pPr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Every day Materials</w:t>
            </w:r>
          </w:p>
          <w:p w:rsidR="00987284" w:rsidRPr="00BB3A6B" w:rsidRDefault="00AB2B04" w:rsidP="00BB3A6B">
            <w:pPr>
              <w:rPr>
                <w:sz w:val="22"/>
                <w:u w:val="single"/>
              </w:rPr>
            </w:pPr>
            <w:r>
              <w:rPr>
                <w:rFonts w:cs="Helvetica"/>
                <w:b/>
                <w:color w:val="494A4A"/>
                <w:sz w:val="22"/>
                <w:szCs w:val="22"/>
              </w:rPr>
              <w:t>We will learn to</w:t>
            </w:r>
            <w:r w:rsidR="00BB3A6B">
              <w:rPr>
                <w:rFonts w:cs="Helvetica"/>
                <w:b/>
                <w:color w:val="494A4A"/>
                <w:sz w:val="22"/>
                <w:szCs w:val="22"/>
              </w:rPr>
              <w:t xml:space="preserve"> </w:t>
            </w:r>
            <w:r w:rsidRPr="00AB2B04">
              <w:rPr>
                <w:rFonts w:cs="Helvetica"/>
                <w:b/>
                <w:color w:val="494A4A"/>
                <w:sz w:val="22"/>
                <w:szCs w:val="22"/>
              </w:rPr>
              <w:t>distinguish between an object and the material from which it is made</w:t>
            </w:r>
            <w:r w:rsidR="00BB3A6B">
              <w:rPr>
                <w:rFonts w:cs="Helvetica"/>
                <w:b/>
                <w:color w:val="494A4A"/>
                <w:sz w:val="22"/>
                <w:szCs w:val="22"/>
              </w:rPr>
              <w:t xml:space="preserve">; </w:t>
            </w:r>
            <w:r w:rsidRPr="00AB2B04">
              <w:rPr>
                <w:rFonts w:cs="Helvetica"/>
                <w:b/>
                <w:color w:val="494A4A"/>
                <w:sz w:val="22"/>
                <w:szCs w:val="22"/>
              </w:rPr>
              <w:t>identify and name a variety of everyday materials, including wood, plastic, glass, metal, water, and rock</w:t>
            </w:r>
            <w:r w:rsidR="00BB3A6B">
              <w:rPr>
                <w:rFonts w:cs="Helvetica"/>
                <w:b/>
                <w:color w:val="494A4A"/>
                <w:sz w:val="22"/>
                <w:szCs w:val="22"/>
              </w:rPr>
              <w:t xml:space="preserve">; </w:t>
            </w:r>
            <w:r w:rsidRPr="00AB2B04">
              <w:rPr>
                <w:rFonts w:cs="Helvetica"/>
                <w:b/>
                <w:color w:val="494A4A"/>
                <w:sz w:val="22"/>
                <w:szCs w:val="22"/>
              </w:rPr>
              <w:t>describe the simple physical properties of a variety of everyday materials</w:t>
            </w:r>
            <w:r w:rsidR="00BB3A6B">
              <w:rPr>
                <w:rFonts w:cs="Helvetica"/>
                <w:b/>
                <w:color w:val="494A4A"/>
                <w:sz w:val="22"/>
                <w:szCs w:val="22"/>
              </w:rPr>
              <w:t xml:space="preserve">; </w:t>
            </w:r>
            <w:r w:rsidRPr="00AB2B04">
              <w:rPr>
                <w:rFonts w:cs="Helvetica"/>
                <w:b/>
                <w:color w:val="494A4A"/>
                <w:sz w:val="22"/>
                <w:szCs w:val="22"/>
              </w:rPr>
              <w:t>compare and group together a variety of everyday materials on the basis of their simple physical properties</w:t>
            </w:r>
          </w:p>
        </w:tc>
        <w:tc>
          <w:tcPr>
            <w:tcW w:w="7791" w:type="dxa"/>
            <w:gridSpan w:val="4"/>
            <w:vMerge/>
            <w:tcBorders>
              <w:bottom w:val="single" w:sz="4" w:space="0" w:color="auto"/>
            </w:tcBorders>
            <w:shd w:val="pct12" w:color="auto" w:fill="auto"/>
          </w:tcPr>
          <w:p w:rsidR="00987284" w:rsidRDefault="00987284"/>
        </w:tc>
        <w:tc>
          <w:tcPr>
            <w:tcW w:w="3896" w:type="dxa"/>
            <w:gridSpan w:val="2"/>
            <w:vMerge w:val="restart"/>
          </w:tcPr>
          <w:p w:rsidR="00987284" w:rsidRPr="00D3702D" w:rsidRDefault="00D3702D">
            <w:pPr>
              <w:rPr>
                <w:sz w:val="22"/>
              </w:rPr>
            </w:pPr>
            <w:r w:rsidRPr="00D3702D">
              <w:rPr>
                <w:sz w:val="22"/>
              </w:rPr>
              <w:t xml:space="preserve">We will be </w:t>
            </w:r>
            <w:r>
              <w:rPr>
                <w:sz w:val="22"/>
              </w:rPr>
              <w:t>finding out about toys from the past and present.</w:t>
            </w:r>
            <w:r w:rsidR="00AD173E">
              <w:rPr>
                <w:sz w:val="22"/>
              </w:rPr>
              <w:t xml:space="preserve">  The children will be able to </w:t>
            </w:r>
            <w:r w:rsidR="00AD173E">
              <w:t>descr</w:t>
            </w:r>
            <w:r w:rsidR="00AD173E">
              <w:t>ibe</w:t>
            </w:r>
            <w:r w:rsidR="0097226C">
              <w:t xml:space="preserve"> the characteristics of toys; </w:t>
            </w:r>
            <w:r w:rsidR="00AD173E">
              <w:t>find out what toys our parents and grandparents played with</w:t>
            </w:r>
            <w:r w:rsidR="00AD173E">
              <w:t xml:space="preserve">; </w:t>
            </w:r>
            <w:r w:rsidR="00AD173E">
              <w:t>find out what toys were like</w:t>
            </w:r>
            <w:r w:rsidR="00AD173E">
              <w:t xml:space="preserve"> </w:t>
            </w:r>
            <w:r w:rsidR="0097226C">
              <w:t>at different times in the past;</w:t>
            </w:r>
            <w:r w:rsidR="0097226C">
              <w:t xml:space="preserve"> identify toys tha</w:t>
            </w:r>
            <w:r w:rsidR="0097226C">
              <w:t>t are old and toys that are new and</w:t>
            </w:r>
            <w:r w:rsidR="0097226C">
              <w:t xml:space="preserve"> describe how toys are diff</w:t>
            </w:r>
            <w:r w:rsidR="0097226C">
              <w:t>erent and how they are the same.</w:t>
            </w:r>
            <w:bookmarkStart w:id="0" w:name="_GoBack"/>
            <w:bookmarkEnd w:id="0"/>
          </w:p>
        </w:tc>
      </w:tr>
      <w:tr w:rsidR="00987284" w:rsidTr="00BB3A6B">
        <w:trPr>
          <w:trHeight w:val="3011"/>
        </w:trPr>
        <w:tc>
          <w:tcPr>
            <w:tcW w:w="3895" w:type="dxa"/>
            <w:vMerge/>
            <w:tcBorders>
              <w:bottom w:val="single" w:sz="4" w:space="0" w:color="auto"/>
            </w:tcBorders>
          </w:tcPr>
          <w:p w:rsidR="00987284" w:rsidRDefault="00987284">
            <w:pPr>
              <w:rPr>
                <w:sz w:val="22"/>
              </w:rPr>
            </w:pPr>
          </w:p>
        </w:tc>
        <w:tc>
          <w:tcPr>
            <w:tcW w:w="7791" w:type="dxa"/>
            <w:gridSpan w:val="4"/>
            <w:tcBorders>
              <w:bottom w:val="single" w:sz="4" w:space="0" w:color="auto"/>
            </w:tcBorders>
          </w:tcPr>
          <w:p w:rsidR="00987284" w:rsidRDefault="00987284">
            <w:pPr>
              <w:jc w:val="center"/>
              <w:rPr>
                <w:rFonts w:ascii="Ravie" w:hAnsi="Ravie" w:cs="Arial"/>
                <w:b/>
                <w:sz w:val="14"/>
              </w:rPr>
            </w:pPr>
          </w:p>
          <w:p w:rsidR="00987284" w:rsidRDefault="00242838" w:rsidP="00AB2B04">
            <w:pPr>
              <w:jc w:val="center"/>
              <w:rPr>
                <w:rFonts w:ascii="Ravie" w:hAnsi="Ravie" w:cs="Arial"/>
                <w:b/>
                <w:sz w:val="16"/>
              </w:rPr>
            </w:pPr>
            <w:r>
              <w:rPr>
                <w:rFonts w:ascii="Ravie" w:hAnsi="Ravie" w:cs="Arial"/>
                <w:b/>
                <w:sz w:val="28"/>
              </w:rPr>
              <w:t>Toys</w:t>
            </w:r>
          </w:p>
          <w:p w:rsidR="00987284" w:rsidRDefault="00AB2B04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757CCED" wp14:editId="0E5D8B19">
                  <wp:extent cx="1819308" cy="1402080"/>
                  <wp:effectExtent l="0" t="0" r="9525" b="7620"/>
                  <wp:docPr id="6" name="Picture 6" descr="C:\Users\k.cousins\AppData\Local\Microsoft\Windows\Temporary Internet Files\Content.IE5\99Z0QRYM\31116-Clipart-Illustration-Of-A-Teddy-Bear-With-Baby-Toys-In-A-Nurser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.cousins\AppData\Local\Microsoft\Windows\Temporary Internet Files\Content.IE5\99Z0QRYM\31116-Clipart-Illustration-Of-A-Teddy-Bear-With-Baby-Toys-In-A-Nurser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308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226C">
              <w:rPr>
                <w:rFonts w:ascii="Arial" w:hAnsi="Arial" w:cs="Arial"/>
                <w:sz w:val="28"/>
              </w:rPr>
              <w:t xml:space="preserve">    </w:t>
            </w:r>
            <w:r>
              <w:rPr>
                <w:rFonts w:ascii="Arial" w:hAnsi="Arial" w:cs="Arial"/>
                <w:sz w:val="28"/>
              </w:rPr>
              <w:t xml:space="preserve">                </w:t>
            </w:r>
            <w:r w:rsidR="0097226C">
              <w:rPr>
                <w:rFonts w:ascii="Arial" w:hAnsi="Arial" w:cs="Arial"/>
                <w:sz w:val="28"/>
              </w:rPr>
              <w:t xml:space="preserve">      </w:t>
            </w:r>
            <w:r>
              <w:rPr>
                <w:rFonts w:ascii="Arial" w:hAnsi="Arial" w:cs="Arial"/>
                <w:noProof/>
                <w:sz w:val="28"/>
                <w:lang w:val="en-GB" w:eastAsia="en-GB"/>
              </w:rPr>
              <w:drawing>
                <wp:inline distT="0" distB="0" distL="0" distR="0" wp14:anchorId="35AE003F" wp14:editId="6F4C3345">
                  <wp:extent cx="1395855" cy="1402080"/>
                  <wp:effectExtent l="0" t="0" r="0" b="7620"/>
                  <wp:docPr id="7" name="Picture 7" descr="C:\Users\k.cousins\AppData\Local\Microsoft\Windows\Temporary Internet Files\Content.IE5\GJGQSDLV\lego_minifigure_styled_plush_toy_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.cousins\AppData\Local\Microsoft\Windows\Temporary Internet Files\Content.IE5\GJGQSDLV\lego_minifigure_styled_plush_toy_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03483" cy="1409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226C">
              <w:rPr>
                <w:rFonts w:ascii="Arial" w:hAnsi="Arial" w:cs="Arial"/>
                <w:sz w:val="28"/>
              </w:rPr>
              <w:t xml:space="preserve">    </w:t>
            </w:r>
          </w:p>
          <w:p w:rsidR="00987284" w:rsidRPr="00BB3A6B" w:rsidRDefault="00BB3A6B" w:rsidP="00BB3A6B">
            <w:pPr>
              <w:numPr>
                <w:ilvl w:val="0"/>
                <w:numId w:val="1"/>
              </w:numPr>
              <w:ind w:left="0"/>
              <w:rPr>
                <w:rFonts w:ascii="Arial" w:eastAsia="Times New Roman" w:hAnsi="Arial" w:cs="Arial"/>
                <w:color w:val="222222"/>
                <w:sz w:val="27"/>
                <w:szCs w:val="27"/>
                <w:lang w:val="en-GB" w:eastAsia="en-GB"/>
              </w:rPr>
            </w:pPr>
            <w:r>
              <w:rPr>
                <w:rFonts w:ascii="Arial" w:hAnsi="Arial" w:cs="Arial"/>
                <w:sz w:val="28"/>
              </w:rPr>
              <w:t xml:space="preserve">                </w:t>
            </w:r>
            <w:r w:rsidR="0097226C">
              <w:rPr>
                <w:noProof/>
                <w:lang w:val="en-GB" w:eastAsia="en-GB"/>
              </w:rPr>
              <w:drawing>
                <wp:anchor distT="36576" distB="36576" distL="36576" distR="36576" simplePos="0" relativeHeight="251671552" behindDoc="0" locked="0" layoutInCell="1" allowOverlap="1" wp14:anchorId="5957DBB8" wp14:editId="1A951336">
                  <wp:simplePos x="0" y="0"/>
                  <wp:positionH relativeFrom="column">
                    <wp:posOffset>48754665</wp:posOffset>
                  </wp:positionH>
                  <wp:positionV relativeFrom="paragraph">
                    <wp:posOffset>1691640</wp:posOffset>
                  </wp:positionV>
                  <wp:extent cx="4162425" cy="3843020"/>
                  <wp:effectExtent l="0" t="0" r="9525" b="5080"/>
                  <wp:wrapNone/>
                  <wp:docPr id="10" name="Picture 10" descr="green-australia-map-hi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een-australia-map-hi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384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96" w:type="dxa"/>
            <w:gridSpan w:val="2"/>
            <w:vMerge/>
            <w:tcBorders>
              <w:bottom w:val="single" w:sz="4" w:space="0" w:color="auto"/>
            </w:tcBorders>
          </w:tcPr>
          <w:p w:rsidR="00987284" w:rsidRDefault="00987284">
            <w:pPr>
              <w:rPr>
                <w:sz w:val="22"/>
              </w:rPr>
            </w:pPr>
          </w:p>
        </w:tc>
      </w:tr>
      <w:tr w:rsidR="00987284">
        <w:trPr>
          <w:trHeight w:val="572"/>
        </w:trPr>
        <w:tc>
          <w:tcPr>
            <w:tcW w:w="3895" w:type="dxa"/>
            <w:shd w:val="pct12" w:color="auto" w:fill="auto"/>
            <w:vAlign w:val="center"/>
          </w:tcPr>
          <w:p w:rsidR="00987284" w:rsidRDefault="0097226C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2876" w:type="dxa"/>
            <w:shd w:val="pct12" w:color="auto" w:fill="auto"/>
            <w:vAlign w:val="center"/>
          </w:tcPr>
          <w:p w:rsidR="00987284" w:rsidRDefault="0097226C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2551" w:type="dxa"/>
            <w:gridSpan w:val="2"/>
            <w:shd w:val="pct12" w:color="auto" w:fill="auto"/>
            <w:vAlign w:val="center"/>
          </w:tcPr>
          <w:p w:rsidR="00987284" w:rsidRDefault="0097226C">
            <w:pPr>
              <w:jc w:val="center"/>
              <w:rPr>
                <w:b/>
              </w:rPr>
            </w:pPr>
            <w:r>
              <w:rPr>
                <w:b/>
              </w:rPr>
              <w:t xml:space="preserve">Computing </w:t>
            </w:r>
          </w:p>
        </w:tc>
        <w:tc>
          <w:tcPr>
            <w:tcW w:w="2364" w:type="dxa"/>
            <w:shd w:val="pct12" w:color="auto" w:fill="auto"/>
            <w:vAlign w:val="center"/>
          </w:tcPr>
          <w:p w:rsidR="00987284" w:rsidRDefault="0097226C">
            <w:pPr>
              <w:jc w:val="center"/>
              <w:rPr>
                <w:b/>
              </w:rPr>
            </w:pPr>
            <w:r>
              <w:rPr>
                <w:b/>
              </w:rPr>
              <w:t>PSHE /</w:t>
            </w:r>
            <w:r>
              <w:rPr>
                <w:b/>
              </w:rPr>
              <w:t xml:space="preserve"> SEAL</w:t>
            </w:r>
          </w:p>
        </w:tc>
        <w:tc>
          <w:tcPr>
            <w:tcW w:w="1948" w:type="dxa"/>
            <w:shd w:val="pct12" w:color="auto" w:fill="auto"/>
            <w:vAlign w:val="center"/>
          </w:tcPr>
          <w:p w:rsidR="00987284" w:rsidRDefault="0097226C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948" w:type="dxa"/>
            <w:shd w:val="pct12" w:color="auto" w:fill="auto"/>
            <w:vAlign w:val="center"/>
          </w:tcPr>
          <w:p w:rsidR="00987284" w:rsidRDefault="0097226C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</w:tc>
      </w:tr>
      <w:tr w:rsidR="00987284">
        <w:trPr>
          <w:trHeight w:val="1257"/>
        </w:trPr>
        <w:tc>
          <w:tcPr>
            <w:tcW w:w="3895" w:type="dxa"/>
          </w:tcPr>
          <w:p w:rsidR="00987284" w:rsidRDefault="0097226C">
            <w:pPr>
              <w:rPr>
                <w:sz w:val="22"/>
              </w:rPr>
            </w:pPr>
            <w:r>
              <w:rPr>
                <w:sz w:val="22"/>
              </w:rPr>
              <w:t>Incarnation / Celebration</w:t>
            </w:r>
          </w:p>
        </w:tc>
        <w:tc>
          <w:tcPr>
            <w:tcW w:w="2876" w:type="dxa"/>
          </w:tcPr>
          <w:p w:rsidR="00987284" w:rsidRDefault="0097226C">
            <w:pPr>
              <w:rPr>
                <w:sz w:val="22"/>
              </w:rPr>
            </w:pPr>
            <w:r>
              <w:rPr>
                <w:sz w:val="22"/>
              </w:rPr>
              <w:t>Exploring and experimenting with different media to create different imaginary worlds and landscapes.</w:t>
            </w:r>
          </w:p>
        </w:tc>
        <w:tc>
          <w:tcPr>
            <w:tcW w:w="2551" w:type="dxa"/>
            <w:gridSpan w:val="2"/>
          </w:tcPr>
          <w:p w:rsidR="00987284" w:rsidRDefault="0097226C">
            <w:pPr>
              <w:rPr>
                <w:sz w:val="22"/>
              </w:rPr>
            </w:pPr>
            <w:r>
              <w:rPr>
                <w:sz w:val="22"/>
              </w:rPr>
              <w:t>Coding – Purple Mash</w:t>
            </w:r>
          </w:p>
        </w:tc>
        <w:tc>
          <w:tcPr>
            <w:tcW w:w="2364" w:type="dxa"/>
          </w:tcPr>
          <w:p w:rsidR="00987284" w:rsidRDefault="0097226C">
            <w:pPr>
              <w:rPr>
                <w:sz w:val="22"/>
              </w:rPr>
            </w:pPr>
            <w:r>
              <w:rPr>
                <w:sz w:val="22"/>
              </w:rPr>
              <w:t>Say No to Bullying</w:t>
            </w:r>
          </w:p>
        </w:tc>
        <w:tc>
          <w:tcPr>
            <w:tcW w:w="1948" w:type="dxa"/>
          </w:tcPr>
          <w:p w:rsidR="00987284" w:rsidRDefault="0097226C">
            <w:pPr>
              <w:rPr>
                <w:sz w:val="22"/>
              </w:rPr>
            </w:pPr>
            <w:r>
              <w:rPr>
                <w:sz w:val="22"/>
              </w:rPr>
              <w:t>Sports Coach</w:t>
            </w:r>
          </w:p>
        </w:tc>
        <w:tc>
          <w:tcPr>
            <w:tcW w:w="1948" w:type="dxa"/>
          </w:tcPr>
          <w:p w:rsidR="00987284" w:rsidRDefault="0097226C">
            <w:pPr>
              <w:rPr>
                <w:sz w:val="22"/>
              </w:rPr>
            </w:pPr>
            <w:r>
              <w:rPr>
                <w:sz w:val="22"/>
              </w:rPr>
              <w:t>Feel the pulse – Exploring pulse and rhythm</w:t>
            </w:r>
          </w:p>
        </w:tc>
      </w:tr>
    </w:tbl>
    <w:p w:rsidR="00987284" w:rsidRDefault="00987284">
      <w:pPr>
        <w:rPr>
          <w:sz w:val="18"/>
        </w:rPr>
      </w:pPr>
    </w:p>
    <w:sectPr w:rsidR="009872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C25"/>
    <w:multiLevelType w:val="hybridMultilevel"/>
    <w:tmpl w:val="EC1A5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F6E00"/>
    <w:multiLevelType w:val="hybridMultilevel"/>
    <w:tmpl w:val="6846B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94C58"/>
    <w:multiLevelType w:val="multilevel"/>
    <w:tmpl w:val="19288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84"/>
    <w:rsid w:val="00242838"/>
    <w:rsid w:val="003A07F4"/>
    <w:rsid w:val="007D7E3E"/>
    <w:rsid w:val="00803CB6"/>
    <w:rsid w:val="009562D0"/>
    <w:rsid w:val="0097226C"/>
    <w:rsid w:val="00987284"/>
    <w:rsid w:val="00AB2B04"/>
    <w:rsid w:val="00AD173E"/>
    <w:rsid w:val="00BB3A6B"/>
    <w:rsid w:val="00D3702D"/>
    <w:rsid w:val="00F53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AB2B0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AB2B0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Lennon</dc:creator>
  <cp:lastModifiedBy>Kirsti Cousins</cp:lastModifiedBy>
  <cp:revision>3</cp:revision>
  <cp:lastPrinted>2017-11-07T15:34:00Z</cp:lastPrinted>
  <dcterms:created xsi:type="dcterms:W3CDTF">2017-11-07T15:33:00Z</dcterms:created>
  <dcterms:modified xsi:type="dcterms:W3CDTF">2017-11-07T15:58:00Z</dcterms:modified>
</cp:coreProperties>
</file>